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6ADD" w:rsidRPr="00DB6584" w:rsidRDefault="00606ADD" w:rsidP="00606ADD">
      <w:pPr>
        <w:spacing w:after="0" w:line="240" w:lineRule="auto"/>
        <w:jc w:val="center"/>
        <w:rPr>
          <w:rFonts w:ascii="Times New Roman" w:hAnsi="Times New Roman" w:cs="Times New Roman"/>
          <w:b/>
          <w:sz w:val="28"/>
          <w:szCs w:val="28"/>
          <w:lang w:val="el-GR"/>
        </w:rPr>
      </w:pPr>
      <w:r w:rsidRPr="00DB6584">
        <w:rPr>
          <w:rFonts w:ascii="Times New Roman" w:hAnsi="Times New Roman" w:cs="Times New Roman"/>
          <w:b/>
          <w:sz w:val="28"/>
          <w:szCs w:val="28"/>
          <w:lang w:val="el-GR"/>
        </w:rPr>
        <w:t>ΕΤΑΙΡ</w:t>
      </w:r>
      <w:bookmarkStart w:id="0" w:name="_GoBack"/>
      <w:bookmarkEnd w:id="0"/>
      <w:r w:rsidRPr="00DB6584">
        <w:rPr>
          <w:rFonts w:ascii="Times New Roman" w:hAnsi="Times New Roman" w:cs="Times New Roman"/>
          <w:b/>
          <w:sz w:val="28"/>
          <w:szCs w:val="28"/>
          <w:lang w:val="el-GR"/>
        </w:rPr>
        <w:t xml:space="preserve">ΙΑ ΕΛΛΗΝΩΝ </w:t>
      </w:r>
    </w:p>
    <w:p w:rsidR="00606ADD" w:rsidRPr="00DB6584" w:rsidRDefault="00606ADD" w:rsidP="00606ADD">
      <w:pPr>
        <w:spacing w:after="0" w:line="240" w:lineRule="auto"/>
        <w:jc w:val="center"/>
        <w:rPr>
          <w:rFonts w:ascii="Times New Roman" w:hAnsi="Times New Roman" w:cs="Times New Roman"/>
          <w:b/>
          <w:sz w:val="28"/>
          <w:szCs w:val="28"/>
          <w:lang w:val="el-GR"/>
        </w:rPr>
      </w:pPr>
      <w:r w:rsidRPr="00DB6584">
        <w:rPr>
          <w:rFonts w:ascii="Times New Roman" w:hAnsi="Times New Roman" w:cs="Times New Roman"/>
          <w:b/>
          <w:sz w:val="28"/>
          <w:szCs w:val="28"/>
          <w:lang w:val="el-GR"/>
        </w:rPr>
        <w:t>ΔΙΚΑΣΤΙΚΩΝ ΛΕΙΤΟΥΡΓΩΝ</w:t>
      </w:r>
    </w:p>
    <w:p w:rsidR="00606ADD" w:rsidRPr="00DB6584" w:rsidRDefault="00606ADD" w:rsidP="00606ADD">
      <w:pPr>
        <w:spacing w:after="0" w:line="240" w:lineRule="auto"/>
        <w:jc w:val="center"/>
        <w:rPr>
          <w:rFonts w:ascii="Times New Roman" w:hAnsi="Times New Roman" w:cs="Times New Roman"/>
          <w:b/>
          <w:sz w:val="28"/>
          <w:szCs w:val="28"/>
          <w:lang w:val="el-GR"/>
        </w:rPr>
      </w:pPr>
      <w:r w:rsidRPr="00DB6584">
        <w:rPr>
          <w:rFonts w:ascii="Times New Roman" w:hAnsi="Times New Roman" w:cs="Times New Roman"/>
          <w:b/>
          <w:sz w:val="28"/>
          <w:szCs w:val="28"/>
          <w:lang w:val="el-GR"/>
        </w:rPr>
        <w:t xml:space="preserve">ΓΙΑ ΤΗ ΔΗΜΟΚΡΑΤΙΑ </w:t>
      </w:r>
    </w:p>
    <w:p w:rsidR="00606ADD" w:rsidRPr="00DB6584" w:rsidRDefault="00606ADD" w:rsidP="00D85EE9">
      <w:pPr>
        <w:spacing w:after="0" w:line="480" w:lineRule="auto"/>
        <w:jc w:val="center"/>
        <w:rPr>
          <w:rFonts w:ascii="Times New Roman" w:hAnsi="Times New Roman" w:cs="Times New Roman"/>
          <w:b/>
          <w:sz w:val="28"/>
          <w:szCs w:val="28"/>
          <w:lang w:val="el-GR"/>
        </w:rPr>
      </w:pPr>
      <w:r w:rsidRPr="00DB6584">
        <w:rPr>
          <w:rFonts w:ascii="Times New Roman" w:hAnsi="Times New Roman" w:cs="Times New Roman"/>
          <w:b/>
          <w:sz w:val="28"/>
          <w:szCs w:val="28"/>
          <w:lang w:val="el-GR"/>
        </w:rPr>
        <w:t>ΚΑΙ ΤΙΣ ΕΛΕΥΘΕΡΙΕΣ</w:t>
      </w:r>
    </w:p>
    <w:p w:rsidR="00606ADD" w:rsidRDefault="00606ADD" w:rsidP="00606ADD">
      <w:pPr>
        <w:spacing w:after="0" w:line="240" w:lineRule="auto"/>
        <w:jc w:val="center"/>
        <w:rPr>
          <w:rFonts w:ascii="Times New Roman" w:hAnsi="Times New Roman" w:cs="Times New Roman"/>
          <w:sz w:val="32"/>
          <w:szCs w:val="32"/>
          <w:lang w:val="el-GR"/>
        </w:rPr>
      </w:pPr>
      <w:r>
        <w:rPr>
          <w:rFonts w:ascii="Times New Roman" w:hAnsi="Times New Roman" w:cs="Times New Roman"/>
          <w:sz w:val="32"/>
          <w:szCs w:val="32"/>
          <w:lang w:val="el-GR"/>
        </w:rPr>
        <w:t xml:space="preserve">Επετειακή εκδήλωση για τα 30 χρόνια </w:t>
      </w:r>
    </w:p>
    <w:p w:rsidR="00606ADD" w:rsidRDefault="00606ADD" w:rsidP="00606ADD">
      <w:pPr>
        <w:spacing w:after="0" w:line="240" w:lineRule="auto"/>
        <w:jc w:val="center"/>
        <w:rPr>
          <w:rFonts w:ascii="Times New Roman" w:hAnsi="Times New Roman" w:cs="Times New Roman"/>
          <w:sz w:val="32"/>
          <w:szCs w:val="32"/>
          <w:lang w:val="el-GR"/>
        </w:rPr>
      </w:pPr>
      <w:r>
        <w:rPr>
          <w:rFonts w:ascii="Times New Roman" w:hAnsi="Times New Roman" w:cs="Times New Roman"/>
          <w:sz w:val="32"/>
          <w:szCs w:val="32"/>
          <w:lang w:val="el-GR"/>
        </w:rPr>
        <w:t>της Εταιρίας Ελλήνων Δικαστικών Λειτουργών</w:t>
      </w:r>
    </w:p>
    <w:p w:rsidR="00606ADD" w:rsidRDefault="00606ADD" w:rsidP="00606ADD">
      <w:pPr>
        <w:spacing w:after="0" w:line="240" w:lineRule="auto"/>
        <w:jc w:val="center"/>
        <w:rPr>
          <w:rFonts w:ascii="Times New Roman" w:hAnsi="Times New Roman" w:cs="Times New Roman"/>
          <w:sz w:val="32"/>
          <w:szCs w:val="32"/>
          <w:lang w:val="el-GR"/>
        </w:rPr>
      </w:pPr>
      <w:r>
        <w:rPr>
          <w:rFonts w:ascii="Times New Roman" w:hAnsi="Times New Roman" w:cs="Times New Roman"/>
          <w:sz w:val="32"/>
          <w:szCs w:val="32"/>
          <w:lang w:val="el-GR"/>
        </w:rPr>
        <w:t xml:space="preserve"> για τη Δημοκρατία και τις Ελευθερίες</w:t>
      </w:r>
    </w:p>
    <w:p w:rsidR="00606ADD" w:rsidRDefault="00606ADD" w:rsidP="00606ADD">
      <w:pPr>
        <w:spacing w:after="0" w:line="240" w:lineRule="auto"/>
        <w:jc w:val="center"/>
        <w:rPr>
          <w:rFonts w:ascii="Times New Roman" w:hAnsi="Times New Roman" w:cs="Times New Roman"/>
          <w:sz w:val="32"/>
          <w:szCs w:val="32"/>
          <w:lang w:val="el-GR"/>
        </w:rPr>
      </w:pPr>
    </w:p>
    <w:p w:rsidR="00606ADD" w:rsidRDefault="00606ADD" w:rsidP="00606ADD">
      <w:pPr>
        <w:spacing w:after="0" w:line="240" w:lineRule="auto"/>
        <w:jc w:val="center"/>
        <w:rPr>
          <w:rFonts w:ascii="Times New Roman" w:hAnsi="Times New Roman" w:cs="Times New Roman"/>
          <w:sz w:val="32"/>
          <w:szCs w:val="32"/>
          <w:lang w:val="el-GR"/>
        </w:rPr>
      </w:pPr>
      <w:r>
        <w:rPr>
          <w:rFonts w:ascii="Times New Roman" w:hAnsi="Times New Roman" w:cs="Times New Roman"/>
          <w:sz w:val="32"/>
          <w:szCs w:val="32"/>
          <w:lang w:val="el-GR"/>
        </w:rPr>
        <w:t>Σάββατο 16 Μαρτίου 2019</w:t>
      </w:r>
    </w:p>
    <w:p w:rsidR="00606ADD" w:rsidRDefault="00606ADD" w:rsidP="00606ADD">
      <w:pPr>
        <w:spacing w:after="0" w:line="240" w:lineRule="auto"/>
        <w:jc w:val="center"/>
        <w:rPr>
          <w:rFonts w:ascii="Times New Roman" w:hAnsi="Times New Roman" w:cs="Times New Roman"/>
          <w:sz w:val="32"/>
          <w:szCs w:val="32"/>
          <w:lang w:val="el-GR"/>
        </w:rPr>
      </w:pPr>
    </w:p>
    <w:p w:rsidR="00DB6584" w:rsidRDefault="00DB6584" w:rsidP="00606ADD">
      <w:pPr>
        <w:spacing w:after="0" w:line="240" w:lineRule="auto"/>
        <w:jc w:val="center"/>
        <w:rPr>
          <w:rFonts w:ascii="Times New Roman" w:hAnsi="Times New Roman" w:cs="Times New Roman"/>
          <w:sz w:val="32"/>
          <w:szCs w:val="32"/>
          <w:lang w:val="el-GR"/>
        </w:rPr>
      </w:pPr>
      <w:r>
        <w:rPr>
          <w:rFonts w:ascii="Times New Roman" w:hAnsi="Times New Roman" w:cs="Times New Roman"/>
          <w:sz w:val="32"/>
          <w:szCs w:val="32"/>
          <w:lang w:val="el-GR"/>
        </w:rPr>
        <w:t>Αίθουσα της Γερουσίας</w:t>
      </w:r>
    </w:p>
    <w:p w:rsidR="00DB6584" w:rsidRDefault="00DB6584" w:rsidP="00606ADD">
      <w:pPr>
        <w:spacing w:after="0" w:line="240" w:lineRule="auto"/>
        <w:jc w:val="center"/>
        <w:rPr>
          <w:rFonts w:ascii="Times New Roman" w:hAnsi="Times New Roman" w:cs="Times New Roman"/>
          <w:sz w:val="32"/>
          <w:szCs w:val="32"/>
          <w:lang w:val="el-GR"/>
        </w:rPr>
      </w:pPr>
      <w:r>
        <w:rPr>
          <w:rFonts w:ascii="Times New Roman" w:hAnsi="Times New Roman" w:cs="Times New Roman"/>
          <w:sz w:val="32"/>
          <w:szCs w:val="32"/>
          <w:lang w:val="el-GR"/>
        </w:rPr>
        <w:t>Βουλή των Ελλήνων</w:t>
      </w:r>
    </w:p>
    <w:p w:rsidR="00DB6584" w:rsidRDefault="00DB6584" w:rsidP="00606ADD">
      <w:pPr>
        <w:spacing w:after="0" w:line="240" w:lineRule="auto"/>
        <w:jc w:val="center"/>
        <w:rPr>
          <w:rFonts w:ascii="Times New Roman" w:hAnsi="Times New Roman" w:cs="Times New Roman"/>
          <w:sz w:val="32"/>
          <w:szCs w:val="32"/>
          <w:lang w:val="el-GR"/>
        </w:rPr>
      </w:pPr>
    </w:p>
    <w:p w:rsidR="00DB6584" w:rsidRPr="00DB6584" w:rsidRDefault="00DB6584" w:rsidP="00606ADD">
      <w:pPr>
        <w:spacing w:after="0" w:line="240" w:lineRule="auto"/>
        <w:jc w:val="center"/>
        <w:rPr>
          <w:rFonts w:ascii="Times New Roman" w:hAnsi="Times New Roman" w:cs="Times New Roman"/>
          <w:sz w:val="32"/>
          <w:szCs w:val="32"/>
          <w:lang w:val="el-GR"/>
        </w:rPr>
      </w:pPr>
    </w:p>
    <w:p w:rsidR="007C77AE" w:rsidRPr="007D2285" w:rsidRDefault="00D85EE9" w:rsidP="00D85EE9">
      <w:pPr>
        <w:spacing w:after="0" w:line="480" w:lineRule="auto"/>
        <w:jc w:val="center"/>
        <w:rPr>
          <w:rFonts w:ascii="Times New Roman" w:hAnsi="Times New Roman" w:cs="Times New Roman"/>
          <w:sz w:val="32"/>
          <w:szCs w:val="32"/>
          <w:lang w:val="el-GR"/>
        </w:rPr>
      </w:pPr>
      <w:r w:rsidRPr="007D2285">
        <w:rPr>
          <w:rFonts w:ascii="Times New Roman" w:hAnsi="Times New Roman" w:cs="Times New Roman"/>
          <w:b/>
          <w:sz w:val="32"/>
          <w:szCs w:val="32"/>
          <w:u w:val="single"/>
          <w:lang w:val="el-GR"/>
        </w:rPr>
        <w:t>Λιτότητα και Κοινωνικά Δικαιώματα</w:t>
      </w:r>
    </w:p>
    <w:p w:rsidR="00D85EE9" w:rsidRDefault="00606ADD" w:rsidP="00606ADD">
      <w:pPr>
        <w:spacing w:after="0" w:line="240" w:lineRule="auto"/>
        <w:jc w:val="center"/>
        <w:rPr>
          <w:rFonts w:ascii="Times New Roman" w:hAnsi="Times New Roman" w:cs="Times New Roman"/>
          <w:sz w:val="32"/>
          <w:szCs w:val="32"/>
          <w:lang w:val="el-GR"/>
        </w:rPr>
      </w:pPr>
      <w:r>
        <w:rPr>
          <w:rFonts w:ascii="Times New Roman" w:hAnsi="Times New Roman" w:cs="Times New Roman"/>
          <w:sz w:val="32"/>
          <w:szCs w:val="32"/>
          <w:lang w:val="el-GR"/>
        </w:rPr>
        <w:t xml:space="preserve">(Εισήγηση υπό Τεύκρου Θ. Οικονόμου, </w:t>
      </w:r>
    </w:p>
    <w:p w:rsidR="00606ADD" w:rsidRDefault="00606ADD" w:rsidP="00606ADD">
      <w:pPr>
        <w:spacing w:after="0" w:line="240" w:lineRule="auto"/>
        <w:jc w:val="center"/>
        <w:rPr>
          <w:rFonts w:ascii="Times New Roman" w:hAnsi="Times New Roman" w:cs="Times New Roman"/>
          <w:sz w:val="32"/>
          <w:szCs w:val="32"/>
          <w:lang w:val="el-GR"/>
        </w:rPr>
      </w:pPr>
      <w:r>
        <w:rPr>
          <w:rFonts w:ascii="Times New Roman" w:hAnsi="Times New Roman" w:cs="Times New Roman"/>
          <w:sz w:val="32"/>
          <w:szCs w:val="32"/>
          <w:lang w:val="el-GR"/>
        </w:rPr>
        <w:t>Δικαστή Ανωτάτου Δικαστηρίου Κύπρου)</w:t>
      </w:r>
    </w:p>
    <w:p w:rsidR="00606ADD" w:rsidRPr="007D2285" w:rsidRDefault="00606ADD" w:rsidP="00D85EE9">
      <w:pPr>
        <w:spacing w:after="0" w:line="480" w:lineRule="auto"/>
        <w:jc w:val="center"/>
        <w:rPr>
          <w:rFonts w:ascii="Times New Roman" w:hAnsi="Times New Roman" w:cs="Times New Roman"/>
          <w:sz w:val="32"/>
          <w:szCs w:val="32"/>
          <w:lang w:val="el-GR"/>
        </w:rPr>
      </w:pPr>
    </w:p>
    <w:p w:rsidR="00D85EE9" w:rsidRPr="007D2285" w:rsidRDefault="00D85EE9" w:rsidP="00D85EE9">
      <w:pPr>
        <w:spacing w:after="0" w:line="480" w:lineRule="auto"/>
        <w:jc w:val="both"/>
        <w:rPr>
          <w:rFonts w:ascii="Times New Roman" w:hAnsi="Times New Roman" w:cs="Times New Roman"/>
          <w:sz w:val="32"/>
          <w:szCs w:val="32"/>
          <w:lang w:val="el-GR"/>
        </w:rPr>
      </w:pPr>
      <w:r w:rsidRPr="007D2285">
        <w:rPr>
          <w:rFonts w:ascii="Times New Roman" w:hAnsi="Times New Roman" w:cs="Times New Roman"/>
          <w:sz w:val="32"/>
          <w:szCs w:val="32"/>
          <w:lang w:val="el-GR"/>
        </w:rPr>
        <w:t xml:space="preserve">Το επίπεδο θεσμικής προστασίας των κοινωνικών δικαιωμάτων στην Κύπρο είναι ψηλό.  Στο Σύνταγμα κατοχυρώνονται δικαιώματα κοινωνικού χαρακτήρα, όπως το δικαίωμα αξιοπρεπούς διαβίωσης και κοινωνικής ασφάλειας (Άρθρο 9), το δικαίωμα στην εργασία (Άρθρο 25) και το δικαίωμα στην εκπαίδευση (Άρθρο 20).  Παράλληλα η Κυπριακή Δημοκρατία έχει κυρώσει, με αυξημένη τυπική ισχύ, το Διεθνές Σύμφωνο για τα Οικονομικά, Κοινωνικά </w:t>
      </w:r>
      <w:r w:rsidRPr="007D2285">
        <w:rPr>
          <w:rFonts w:ascii="Times New Roman" w:hAnsi="Times New Roman" w:cs="Times New Roman"/>
          <w:sz w:val="32"/>
          <w:szCs w:val="32"/>
          <w:lang w:val="el-GR"/>
        </w:rPr>
        <w:lastRenderedPageBreak/>
        <w:t>και Πολιτικά Δικαιώματα (Ν. 64/1967)</w:t>
      </w:r>
      <w:r w:rsidR="00262AE5">
        <w:rPr>
          <w:rFonts w:ascii="Times New Roman" w:hAnsi="Times New Roman" w:cs="Times New Roman"/>
          <w:sz w:val="32"/>
          <w:szCs w:val="32"/>
          <w:lang w:val="el-GR"/>
        </w:rPr>
        <w:t>, την Ευρωπαϊκή Σύμβαση</w:t>
      </w:r>
      <w:r w:rsidRPr="007D2285">
        <w:rPr>
          <w:rFonts w:ascii="Times New Roman" w:hAnsi="Times New Roman" w:cs="Times New Roman"/>
          <w:sz w:val="32"/>
          <w:szCs w:val="32"/>
          <w:lang w:val="el-GR"/>
        </w:rPr>
        <w:t xml:space="preserve"> </w:t>
      </w:r>
      <w:r w:rsidR="00262AE5">
        <w:rPr>
          <w:rFonts w:ascii="Times New Roman" w:hAnsi="Times New Roman" w:cs="Times New Roman"/>
          <w:sz w:val="32"/>
          <w:szCs w:val="32"/>
          <w:lang w:val="el-GR"/>
        </w:rPr>
        <w:t xml:space="preserve">για την Προάσπιση των Δικαιωμάτων του Ανθρώπου και των Θεμελιωδών Ελευθεριών μετά του Προσθέτου Πρωτοκόλλου (Ν. 39/1962) </w:t>
      </w:r>
      <w:r w:rsidRPr="007D2285">
        <w:rPr>
          <w:rFonts w:ascii="Times New Roman" w:hAnsi="Times New Roman" w:cs="Times New Roman"/>
          <w:sz w:val="32"/>
          <w:szCs w:val="32"/>
          <w:lang w:val="el-GR"/>
        </w:rPr>
        <w:t xml:space="preserve">και τον Ευρωπαϊκό Κοινωνικό  Χάρτη (Ν. 64/1967) όπως και τον Αναθεωρημένο </w:t>
      </w:r>
      <w:r w:rsidR="00D62D98">
        <w:rPr>
          <w:rFonts w:ascii="Times New Roman" w:hAnsi="Times New Roman" w:cs="Times New Roman"/>
          <w:sz w:val="32"/>
          <w:szCs w:val="32"/>
          <w:lang w:val="el-GR"/>
        </w:rPr>
        <w:t xml:space="preserve">Ευρωπαϊκό Κοινωνικό </w:t>
      </w:r>
      <w:r w:rsidRPr="007D2285">
        <w:rPr>
          <w:rFonts w:ascii="Times New Roman" w:hAnsi="Times New Roman" w:cs="Times New Roman"/>
          <w:sz w:val="32"/>
          <w:szCs w:val="32"/>
          <w:lang w:val="el-GR"/>
        </w:rPr>
        <w:t>Χάρτη (Ν. 27(ΙΙΙ)/2000).</w:t>
      </w:r>
    </w:p>
    <w:p w:rsidR="00D85EE9" w:rsidRPr="007D2285" w:rsidRDefault="00D85EE9" w:rsidP="00D85EE9">
      <w:pPr>
        <w:spacing w:after="0" w:line="480" w:lineRule="auto"/>
        <w:jc w:val="both"/>
        <w:rPr>
          <w:rFonts w:ascii="Times New Roman" w:hAnsi="Times New Roman" w:cs="Times New Roman"/>
          <w:sz w:val="32"/>
          <w:szCs w:val="32"/>
          <w:lang w:val="el-GR"/>
        </w:rPr>
      </w:pPr>
    </w:p>
    <w:p w:rsidR="00D85EE9" w:rsidRPr="007D2285" w:rsidRDefault="00D85EE9" w:rsidP="00D85EE9">
      <w:pPr>
        <w:spacing w:after="0" w:line="480" w:lineRule="auto"/>
        <w:jc w:val="both"/>
        <w:rPr>
          <w:rFonts w:ascii="Times New Roman" w:hAnsi="Times New Roman" w:cs="Times New Roman"/>
          <w:sz w:val="32"/>
          <w:szCs w:val="32"/>
          <w:lang w:val="el-GR"/>
        </w:rPr>
      </w:pPr>
      <w:r w:rsidRPr="007D2285">
        <w:rPr>
          <w:rFonts w:ascii="Times New Roman" w:hAnsi="Times New Roman" w:cs="Times New Roman"/>
          <w:sz w:val="32"/>
          <w:szCs w:val="32"/>
          <w:lang w:val="el-GR"/>
        </w:rPr>
        <w:t>Το πλέγμα προστασίας συμπληρώνεται από σειρά νόμων αναφορικά, μεταξύ άλλων, με εργασιακά δικαιώματα, συλλογικές συμβάσεις εργασίας και την αναγνώριση θεσμικού ρόλου στις συνδικαλιστικές οργανώσεις (Ν. 55/2012)</w:t>
      </w:r>
      <w:r w:rsidR="00D62D98">
        <w:rPr>
          <w:rStyle w:val="FootnoteReference"/>
          <w:rFonts w:ascii="Times New Roman" w:hAnsi="Times New Roman" w:cs="Times New Roman"/>
          <w:sz w:val="32"/>
          <w:szCs w:val="32"/>
          <w:lang w:val="el-GR"/>
        </w:rPr>
        <w:footnoteReference w:id="1"/>
      </w:r>
      <w:r w:rsidRPr="007D2285">
        <w:rPr>
          <w:rFonts w:ascii="Times New Roman" w:hAnsi="Times New Roman" w:cs="Times New Roman"/>
          <w:sz w:val="32"/>
          <w:szCs w:val="32"/>
          <w:lang w:val="el-GR"/>
        </w:rPr>
        <w:t>, προστασία των μισθών (Ν. 35/2007)</w:t>
      </w:r>
      <w:r w:rsidR="00D62D98">
        <w:rPr>
          <w:rStyle w:val="FootnoteReference"/>
          <w:rFonts w:ascii="Times New Roman" w:hAnsi="Times New Roman" w:cs="Times New Roman"/>
          <w:sz w:val="32"/>
          <w:szCs w:val="32"/>
          <w:lang w:val="el-GR"/>
        </w:rPr>
        <w:footnoteReference w:id="2"/>
      </w:r>
      <w:r w:rsidRPr="007D2285">
        <w:rPr>
          <w:rFonts w:ascii="Times New Roman" w:hAnsi="Times New Roman" w:cs="Times New Roman"/>
          <w:sz w:val="32"/>
          <w:szCs w:val="32"/>
          <w:lang w:val="el-GR"/>
        </w:rPr>
        <w:t>, Κοινωνικές Ασφαλίσεις (Ν. 59/2010)</w:t>
      </w:r>
      <w:r w:rsidR="00D62D98">
        <w:rPr>
          <w:rStyle w:val="FootnoteReference"/>
          <w:rFonts w:ascii="Times New Roman" w:hAnsi="Times New Roman" w:cs="Times New Roman"/>
          <w:sz w:val="32"/>
          <w:szCs w:val="32"/>
          <w:lang w:val="el-GR"/>
        </w:rPr>
        <w:footnoteReference w:id="3"/>
      </w:r>
      <w:r w:rsidRPr="007D2285">
        <w:rPr>
          <w:rFonts w:ascii="Times New Roman" w:hAnsi="Times New Roman" w:cs="Times New Roman"/>
          <w:sz w:val="32"/>
          <w:szCs w:val="32"/>
          <w:lang w:val="el-GR"/>
        </w:rPr>
        <w:t>, Κοινωνική Προστασία (Ν. 8/1991)</w:t>
      </w:r>
      <w:r w:rsidR="00D62D98">
        <w:rPr>
          <w:rStyle w:val="FootnoteReference"/>
          <w:rFonts w:ascii="Times New Roman" w:hAnsi="Times New Roman" w:cs="Times New Roman"/>
          <w:sz w:val="32"/>
          <w:szCs w:val="32"/>
          <w:lang w:val="el-GR"/>
        </w:rPr>
        <w:footnoteReference w:id="4"/>
      </w:r>
      <w:r w:rsidRPr="007D2285">
        <w:rPr>
          <w:rFonts w:ascii="Times New Roman" w:hAnsi="Times New Roman" w:cs="Times New Roman"/>
          <w:sz w:val="32"/>
          <w:szCs w:val="32"/>
          <w:lang w:val="el-GR"/>
        </w:rPr>
        <w:t>, Κυβερνητικό Σχέδιο Συντάξεων (Ν. 97/97)</w:t>
      </w:r>
      <w:r w:rsidR="00D62D98">
        <w:rPr>
          <w:rStyle w:val="FootnoteReference"/>
          <w:rFonts w:ascii="Times New Roman" w:hAnsi="Times New Roman" w:cs="Times New Roman"/>
          <w:sz w:val="32"/>
          <w:szCs w:val="32"/>
          <w:lang w:val="el-GR"/>
        </w:rPr>
        <w:footnoteReference w:id="5"/>
      </w:r>
      <w:r w:rsidRPr="007D2285">
        <w:rPr>
          <w:rFonts w:ascii="Times New Roman" w:hAnsi="Times New Roman" w:cs="Times New Roman"/>
          <w:sz w:val="32"/>
          <w:szCs w:val="32"/>
          <w:lang w:val="el-GR"/>
        </w:rPr>
        <w:t>, κλπ.</w:t>
      </w:r>
    </w:p>
    <w:p w:rsidR="00D85EE9" w:rsidRPr="007D2285" w:rsidRDefault="00D85EE9" w:rsidP="00D85EE9">
      <w:pPr>
        <w:spacing w:after="0" w:line="480" w:lineRule="auto"/>
        <w:jc w:val="both"/>
        <w:rPr>
          <w:rFonts w:ascii="Times New Roman" w:hAnsi="Times New Roman" w:cs="Times New Roman"/>
          <w:sz w:val="32"/>
          <w:szCs w:val="32"/>
          <w:lang w:val="el-GR"/>
        </w:rPr>
      </w:pPr>
    </w:p>
    <w:p w:rsidR="00D85EE9" w:rsidRPr="007D2285" w:rsidRDefault="00D85EE9" w:rsidP="00D85EE9">
      <w:pPr>
        <w:spacing w:after="0" w:line="480" w:lineRule="auto"/>
        <w:jc w:val="both"/>
        <w:rPr>
          <w:rFonts w:ascii="Times New Roman" w:hAnsi="Times New Roman" w:cs="Times New Roman"/>
          <w:sz w:val="32"/>
          <w:szCs w:val="32"/>
          <w:lang w:val="el-GR"/>
        </w:rPr>
      </w:pPr>
      <w:r w:rsidRPr="007D2285">
        <w:rPr>
          <w:rFonts w:ascii="Times New Roman" w:hAnsi="Times New Roman" w:cs="Times New Roman"/>
          <w:sz w:val="32"/>
          <w:szCs w:val="32"/>
          <w:lang w:val="el-GR"/>
        </w:rPr>
        <w:t xml:space="preserve">Στην πράξη η θεσμική αναγνώριση και προστασία των κοινωνικών δικαιωμάτων τέθηκε σε δοκιμασία υπό </w:t>
      </w:r>
      <w:r w:rsidR="006848BF">
        <w:rPr>
          <w:rFonts w:ascii="Times New Roman" w:hAnsi="Times New Roman" w:cs="Times New Roman"/>
          <w:sz w:val="32"/>
          <w:szCs w:val="32"/>
          <w:lang w:val="el-GR"/>
        </w:rPr>
        <w:t>τις συνθήκες που προκάλεσε η οικονομική κρίση. Ή</w:t>
      </w:r>
      <w:r w:rsidR="004739B6" w:rsidRPr="007D2285">
        <w:rPr>
          <w:rFonts w:ascii="Times New Roman" w:hAnsi="Times New Roman" w:cs="Times New Roman"/>
          <w:sz w:val="32"/>
          <w:szCs w:val="32"/>
          <w:lang w:val="el-GR"/>
        </w:rPr>
        <w:t>δη πριν την υπογραφή</w:t>
      </w:r>
      <w:r w:rsidR="006848BF">
        <w:rPr>
          <w:rFonts w:ascii="Times New Roman" w:hAnsi="Times New Roman" w:cs="Times New Roman"/>
          <w:sz w:val="32"/>
          <w:szCs w:val="32"/>
          <w:lang w:val="el-GR"/>
        </w:rPr>
        <w:t>, κατά το Μάρτιο του 2013,</w:t>
      </w:r>
      <w:r w:rsidR="004739B6" w:rsidRPr="007D2285">
        <w:rPr>
          <w:rFonts w:ascii="Times New Roman" w:hAnsi="Times New Roman" w:cs="Times New Roman"/>
          <w:sz w:val="32"/>
          <w:szCs w:val="32"/>
          <w:lang w:val="el-GR"/>
        </w:rPr>
        <w:t xml:space="preserve"> «μνημονίου συναντίληψης</w:t>
      </w:r>
      <w:r w:rsidR="006848BF">
        <w:rPr>
          <w:rFonts w:ascii="Times New Roman" w:hAnsi="Times New Roman" w:cs="Times New Roman"/>
          <w:sz w:val="32"/>
          <w:szCs w:val="32"/>
          <w:lang w:val="el-GR"/>
        </w:rPr>
        <w:t>»</w:t>
      </w:r>
      <w:r w:rsidR="004739B6" w:rsidRPr="007D2285">
        <w:rPr>
          <w:rFonts w:ascii="Times New Roman" w:hAnsi="Times New Roman" w:cs="Times New Roman"/>
          <w:sz w:val="32"/>
          <w:szCs w:val="32"/>
          <w:lang w:val="el-GR"/>
        </w:rPr>
        <w:t xml:space="preserve"> με την «Τρόϊκα» (</w:t>
      </w:r>
      <w:r w:rsidR="005F574F">
        <w:rPr>
          <w:rFonts w:ascii="Times New Roman" w:hAnsi="Times New Roman" w:cs="Times New Roman"/>
          <w:sz w:val="32"/>
          <w:szCs w:val="32"/>
          <w:lang w:val="el-GR"/>
        </w:rPr>
        <w:t>Ε</w:t>
      </w:r>
      <w:r w:rsidR="004739B6" w:rsidRPr="007D2285">
        <w:rPr>
          <w:rFonts w:ascii="Times New Roman" w:hAnsi="Times New Roman" w:cs="Times New Roman"/>
          <w:sz w:val="32"/>
          <w:szCs w:val="32"/>
          <w:lang w:val="el-GR"/>
        </w:rPr>
        <w:t xml:space="preserve">υρωπαϊκή Επιτροπή, Ευρωπαϊκή Κεντρική Τράπεζα, Διεθνές Νομισματικό Ταμείο) είχαν ληφθεί νομοθετικά μέτρα </w:t>
      </w:r>
      <w:r w:rsidR="006848BF">
        <w:rPr>
          <w:rFonts w:ascii="Times New Roman" w:hAnsi="Times New Roman" w:cs="Times New Roman"/>
          <w:sz w:val="32"/>
          <w:szCs w:val="32"/>
          <w:lang w:val="el-GR"/>
        </w:rPr>
        <w:t>«</w:t>
      </w:r>
      <w:r w:rsidR="004739B6" w:rsidRPr="007D2285">
        <w:rPr>
          <w:rFonts w:ascii="Times New Roman" w:hAnsi="Times New Roman" w:cs="Times New Roman"/>
          <w:sz w:val="32"/>
          <w:szCs w:val="32"/>
          <w:lang w:val="el-GR"/>
        </w:rPr>
        <w:t>για τον περιορισμό των δαπανών του δημοσίου τομέα και την αποφυγή περαιτέρω επιδείνωσης της δημοσιονομικής κατάστασης</w:t>
      </w:r>
      <w:r w:rsidR="006848BF">
        <w:rPr>
          <w:rFonts w:ascii="Times New Roman" w:hAnsi="Times New Roman" w:cs="Times New Roman"/>
          <w:sz w:val="32"/>
          <w:szCs w:val="32"/>
          <w:lang w:val="el-GR"/>
        </w:rPr>
        <w:t>»</w:t>
      </w:r>
      <w:r w:rsidR="004739B6" w:rsidRPr="007D2285">
        <w:rPr>
          <w:rFonts w:ascii="Times New Roman" w:hAnsi="Times New Roman" w:cs="Times New Roman"/>
          <w:sz w:val="32"/>
          <w:szCs w:val="32"/>
          <w:lang w:val="el-GR"/>
        </w:rPr>
        <w:t>.</w:t>
      </w:r>
    </w:p>
    <w:p w:rsidR="004739B6" w:rsidRPr="007D2285" w:rsidRDefault="004739B6" w:rsidP="00D85EE9">
      <w:pPr>
        <w:spacing w:after="0" w:line="480" w:lineRule="auto"/>
        <w:jc w:val="both"/>
        <w:rPr>
          <w:rFonts w:ascii="Times New Roman" w:hAnsi="Times New Roman" w:cs="Times New Roman"/>
          <w:sz w:val="32"/>
          <w:szCs w:val="32"/>
          <w:lang w:val="el-GR"/>
        </w:rPr>
      </w:pPr>
    </w:p>
    <w:p w:rsidR="004739B6" w:rsidRPr="007D2285" w:rsidRDefault="004739B6" w:rsidP="00D85EE9">
      <w:pPr>
        <w:spacing w:after="0" w:line="480" w:lineRule="auto"/>
        <w:jc w:val="both"/>
        <w:rPr>
          <w:rFonts w:ascii="Times New Roman" w:hAnsi="Times New Roman" w:cs="Times New Roman"/>
          <w:sz w:val="32"/>
          <w:szCs w:val="32"/>
          <w:lang w:val="el-GR"/>
        </w:rPr>
      </w:pPr>
      <w:r w:rsidRPr="007D2285">
        <w:rPr>
          <w:rFonts w:ascii="Times New Roman" w:hAnsi="Times New Roman" w:cs="Times New Roman"/>
          <w:sz w:val="32"/>
          <w:szCs w:val="32"/>
          <w:lang w:val="el-GR"/>
        </w:rPr>
        <w:t>Η αρχή έγινε με την προσπάθεια για την περιστολή «διπλών συντάξεων» κρατικών αξιωματούχων δια του Ν. 88(</w:t>
      </w:r>
      <w:r w:rsidRPr="007D2285">
        <w:rPr>
          <w:rFonts w:ascii="Times New Roman" w:hAnsi="Times New Roman" w:cs="Times New Roman"/>
          <w:sz w:val="32"/>
          <w:szCs w:val="32"/>
        </w:rPr>
        <w:t>I</w:t>
      </w:r>
      <w:r w:rsidRPr="007D2285">
        <w:rPr>
          <w:rFonts w:ascii="Times New Roman" w:hAnsi="Times New Roman" w:cs="Times New Roman"/>
          <w:sz w:val="32"/>
          <w:szCs w:val="32"/>
          <w:lang w:val="el-GR"/>
        </w:rPr>
        <w:t>)/2011</w:t>
      </w:r>
      <w:r w:rsidR="00D62D98">
        <w:rPr>
          <w:rStyle w:val="FootnoteReference"/>
          <w:rFonts w:ascii="Times New Roman" w:hAnsi="Times New Roman" w:cs="Times New Roman"/>
          <w:sz w:val="32"/>
          <w:szCs w:val="32"/>
          <w:lang w:val="el-GR"/>
        </w:rPr>
        <w:footnoteReference w:id="6"/>
      </w:r>
      <w:r w:rsidR="006848BF">
        <w:rPr>
          <w:rFonts w:ascii="Times New Roman" w:hAnsi="Times New Roman" w:cs="Times New Roman"/>
          <w:sz w:val="32"/>
          <w:szCs w:val="32"/>
          <w:lang w:val="el-GR"/>
        </w:rPr>
        <w:t>.</w:t>
      </w:r>
      <w:r w:rsidR="00D62D98">
        <w:rPr>
          <w:rFonts w:ascii="Times New Roman" w:hAnsi="Times New Roman" w:cs="Times New Roman"/>
          <w:sz w:val="32"/>
          <w:szCs w:val="32"/>
          <w:lang w:val="el-GR"/>
        </w:rPr>
        <w:t xml:space="preserve">  </w:t>
      </w:r>
      <w:r w:rsidR="006848BF">
        <w:rPr>
          <w:rFonts w:ascii="Times New Roman" w:hAnsi="Times New Roman" w:cs="Times New Roman"/>
          <w:sz w:val="32"/>
          <w:szCs w:val="32"/>
          <w:lang w:val="el-GR"/>
        </w:rPr>
        <w:t>Π</w:t>
      </w:r>
      <w:r w:rsidRPr="007D2285">
        <w:rPr>
          <w:rFonts w:ascii="Times New Roman" w:hAnsi="Times New Roman" w:cs="Times New Roman"/>
          <w:sz w:val="32"/>
          <w:szCs w:val="32"/>
          <w:lang w:val="el-GR"/>
        </w:rPr>
        <w:t>ροβλέφθηκε ότι σε περίπτωση που αξιωματούχος δικαιούται σε περισσότερες της μίας συντάξεις, λ.χ. γιατί είχε υπηρετήσει ως δημόσιος υπάλληλος προτού διοριστεί υπουργός, το σύνολο των συντάξεων δεν μπορεί να υπερβαίνει το ήμισυ των υψηλότερων.</w:t>
      </w:r>
    </w:p>
    <w:p w:rsidR="004739B6" w:rsidRPr="007D2285" w:rsidRDefault="004739B6" w:rsidP="00D85EE9">
      <w:pPr>
        <w:spacing w:after="0" w:line="480" w:lineRule="auto"/>
        <w:jc w:val="both"/>
        <w:rPr>
          <w:rFonts w:ascii="Times New Roman" w:hAnsi="Times New Roman" w:cs="Times New Roman"/>
          <w:sz w:val="32"/>
          <w:szCs w:val="32"/>
          <w:lang w:val="el-GR"/>
        </w:rPr>
      </w:pPr>
    </w:p>
    <w:p w:rsidR="004739B6" w:rsidRPr="007D2285" w:rsidRDefault="004739B6" w:rsidP="00D85EE9">
      <w:pPr>
        <w:spacing w:after="0" w:line="480" w:lineRule="auto"/>
        <w:jc w:val="both"/>
        <w:rPr>
          <w:rFonts w:ascii="Times New Roman" w:hAnsi="Times New Roman" w:cs="Times New Roman"/>
          <w:sz w:val="32"/>
          <w:szCs w:val="32"/>
          <w:lang w:val="el-GR"/>
        </w:rPr>
      </w:pPr>
      <w:r w:rsidRPr="007D2285">
        <w:rPr>
          <w:rFonts w:ascii="Times New Roman" w:hAnsi="Times New Roman" w:cs="Times New Roman"/>
          <w:sz w:val="32"/>
          <w:szCs w:val="32"/>
          <w:lang w:val="el-GR"/>
        </w:rPr>
        <w:t>Αυτή βεβαίως ήταν μια επιμέρους ρύθμιση.  Όχι όμως όσα ακολούθησαν.</w:t>
      </w:r>
    </w:p>
    <w:p w:rsidR="004739B6" w:rsidRPr="007D2285" w:rsidRDefault="004739B6" w:rsidP="00D85EE9">
      <w:pPr>
        <w:spacing w:after="0" w:line="480" w:lineRule="auto"/>
        <w:jc w:val="both"/>
        <w:rPr>
          <w:rFonts w:ascii="Times New Roman" w:hAnsi="Times New Roman" w:cs="Times New Roman"/>
          <w:sz w:val="32"/>
          <w:szCs w:val="32"/>
          <w:lang w:val="el-GR"/>
        </w:rPr>
      </w:pPr>
    </w:p>
    <w:p w:rsidR="004739B6" w:rsidRPr="007D2285" w:rsidRDefault="00EB265C" w:rsidP="00D85EE9">
      <w:pPr>
        <w:spacing w:after="0" w:line="480" w:lineRule="auto"/>
        <w:jc w:val="both"/>
        <w:rPr>
          <w:rFonts w:ascii="Times New Roman" w:hAnsi="Times New Roman" w:cs="Times New Roman"/>
          <w:sz w:val="32"/>
          <w:szCs w:val="32"/>
          <w:lang w:val="el-GR"/>
        </w:rPr>
      </w:pPr>
      <w:r>
        <w:rPr>
          <w:rFonts w:ascii="Times New Roman" w:hAnsi="Times New Roman" w:cs="Times New Roman"/>
          <w:sz w:val="32"/>
          <w:szCs w:val="32"/>
          <w:lang w:val="el-GR"/>
        </w:rPr>
        <w:t xml:space="preserve">Κατ’ αρχάς </w:t>
      </w:r>
      <w:r w:rsidR="004739B6" w:rsidRPr="007D2285">
        <w:rPr>
          <w:rFonts w:ascii="Times New Roman" w:hAnsi="Times New Roman" w:cs="Times New Roman"/>
          <w:sz w:val="32"/>
          <w:szCs w:val="32"/>
          <w:lang w:val="el-GR"/>
        </w:rPr>
        <w:t xml:space="preserve">επιβλήθηκε κλιμακωτή εισφορά μέχρι ποσοστού 3,5% επί των ακαθαρίστων μηνιαίων απολαβών των εργαζομένων στο </w:t>
      </w:r>
      <w:r w:rsidR="007D2285" w:rsidRPr="007D2285">
        <w:rPr>
          <w:rFonts w:ascii="Times New Roman" w:hAnsi="Times New Roman" w:cs="Times New Roman"/>
          <w:sz w:val="32"/>
          <w:szCs w:val="32"/>
          <w:lang w:val="el-GR"/>
        </w:rPr>
        <w:t>δημόσιο και στον ιδιωτικό τομέα</w:t>
      </w:r>
      <w:r w:rsidRPr="00EB265C">
        <w:rPr>
          <w:rFonts w:ascii="Times New Roman" w:hAnsi="Times New Roman" w:cs="Times New Roman"/>
          <w:sz w:val="32"/>
          <w:szCs w:val="32"/>
          <w:lang w:val="el-GR"/>
        </w:rPr>
        <w:t xml:space="preserve"> </w:t>
      </w:r>
      <w:r>
        <w:rPr>
          <w:rFonts w:ascii="Times New Roman" w:hAnsi="Times New Roman" w:cs="Times New Roman"/>
          <w:sz w:val="32"/>
          <w:szCs w:val="32"/>
          <w:lang w:val="el-GR"/>
        </w:rPr>
        <w:t>(</w:t>
      </w:r>
      <w:r w:rsidRPr="007D2285">
        <w:rPr>
          <w:rFonts w:ascii="Times New Roman" w:hAnsi="Times New Roman" w:cs="Times New Roman"/>
          <w:sz w:val="32"/>
          <w:szCs w:val="32"/>
          <w:lang w:val="el-GR"/>
        </w:rPr>
        <w:t>Ν. 112(Ι)/2011</w:t>
      </w:r>
      <w:r w:rsidR="00D62D98">
        <w:rPr>
          <w:rStyle w:val="FootnoteReference"/>
          <w:rFonts w:ascii="Times New Roman" w:hAnsi="Times New Roman" w:cs="Times New Roman"/>
          <w:sz w:val="32"/>
          <w:szCs w:val="32"/>
          <w:lang w:val="el-GR"/>
        </w:rPr>
        <w:footnoteReference w:id="7"/>
      </w:r>
      <w:r w:rsidR="00D62D98">
        <w:rPr>
          <w:rFonts w:ascii="Times New Roman" w:hAnsi="Times New Roman" w:cs="Times New Roman"/>
          <w:sz w:val="32"/>
          <w:szCs w:val="32"/>
          <w:lang w:val="el-GR"/>
        </w:rPr>
        <w:t xml:space="preserve"> και</w:t>
      </w:r>
      <w:r>
        <w:rPr>
          <w:rFonts w:ascii="Times New Roman" w:hAnsi="Times New Roman" w:cs="Times New Roman"/>
          <w:sz w:val="32"/>
          <w:szCs w:val="32"/>
          <w:lang w:val="el-GR"/>
        </w:rPr>
        <w:t xml:space="preserve"> Ν</w:t>
      </w:r>
      <w:r w:rsidRPr="007D2285">
        <w:rPr>
          <w:rFonts w:ascii="Times New Roman" w:hAnsi="Times New Roman" w:cs="Times New Roman"/>
          <w:sz w:val="32"/>
          <w:szCs w:val="32"/>
          <w:lang w:val="el-GR"/>
        </w:rPr>
        <w:t>. 202(Ι)/2011</w:t>
      </w:r>
      <w:r w:rsidR="00D62D98">
        <w:rPr>
          <w:rStyle w:val="FootnoteReference"/>
          <w:rFonts w:ascii="Times New Roman" w:hAnsi="Times New Roman" w:cs="Times New Roman"/>
          <w:sz w:val="32"/>
          <w:szCs w:val="32"/>
          <w:lang w:val="el-GR"/>
        </w:rPr>
        <w:footnoteReference w:id="8"/>
      </w:r>
      <w:r w:rsidR="00D62D98">
        <w:rPr>
          <w:rFonts w:ascii="Times New Roman" w:hAnsi="Times New Roman" w:cs="Times New Roman"/>
          <w:sz w:val="32"/>
          <w:szCs w:val="32"/>
          <w:lang w:val="el-GR"/>
        </w:rPr>
        <w:t>, αντιστοίχως</w:t>
      </w:r>
      <w:r>
        <w:rPr>
          <w:rFonts w:ascii="Times New Roman" w:hAnsi="Times New Roman" w:cs="Times New Roman"/>
          <w:sz w:val="32"/>
          <w:szCs w:val="32"/>
          <w:lang w:val="el-GR"/>
        </w:rPr>
        <w:t>)</w:t>
      </w:r>
      <w:r w:rsidR="00606ADD">
        <w:rPr>
          <w:rStyle w:val="FootnoteReference"/>
          <w:rFonts w:ascii="Times New Roman" w:hAnsi="Times New Roman" w:cs="Times New Roman"/>
          <w:sz w:val="32"/>
          <w:szCs w:val="32"/>
          <w:lang w:val="el-GR"/>
        </w:rPr>
        <w:footnoteReference w:id="9"/>
      </w:r>
      <w:r w:rsidR="007D2285" w:rsidRPr="007D2285">
        <w:rPr>
          <w:rFonts w:ascii="Times New Roman" w:hAnsi="Times New Roman" w:cs="Times New Roman"/>
          <w:sz w:val="32"/>
          <w:szCs w:val="32"/>
          <w:lang w:val="el-GR"/>
        </w:rPr>
        <w:t>.</w:t>
      </w:r>
    </w:p>
    <w:p w:rsidR="007D2285" w:rsidRPr="007D2285" w:rsidRDefault="007D2285" w:rsidP="00D85EE9">
      <w:pPr>
        <w:spacing w:after="0" w:line="480" w:lineRule="auto"/>
        <w:jc w:val="both"/>
        <w:rPr>
          <w:rFonts w:ascii="Times New Roman" w:hAnsi="Times New Roman" w:cs="Times New Roman"/>
          <w:sz w:val="32"/>
          <w:szCs w:val="32"/>
          <w:lang w:val="el-GR"/>
        </w:rPr>
      </w:pPr>
    </w:p>
    <w:p w:rsidR="007D2285" w:rsidRPr="007D2285" w:rsidRDefault="007D2285" w:rsidP="00D85EE9">
      <w:pPr>
        <w:spacing w:after="0" w:line="480" w:lineRule="auto"/>
        <w:jc w:val="both"/>
        <w:rPr>
          <w:rFonts w:ascii="Times New Roman" w:hAnsi="Times New Roman" w:cs="Times New Roman"/>
          <w:sz w:val="32"/>
          <w:szCs w:val="32"/>
          <w:lang w:val="el-GR"/>
        </w:rPr>
      </w:pPr>
      <w:r w:rsidRPr="007D2285">
        <w:rPr>
          <w:rFonts w:ascii="Times New Roman" w:hAnsi="Times New Roman" w:cs="Times New Roman"/>
          <w:sz w:val="32"/>
          <w:szCs w:val="32"/>
          <w:lang w:val="el-GR"/>
        </w:rPr>
        <w:t xml:space="preserve">Ακολούθησαν μειώσεις στις απολαβές και τις συντάξεις </w:t>
      </w:r>
      <w:r w:rsidR="00EB265C">
        <w:rPr>
          <w:rFonts w:ascii="Times New Roman" w:hAnsi="Times New Roman" w:cs="Times New Roman"/>
          <w:sz w:val="32"/>
          <w:szCs w:val="32"/>
          <w:lang w:val="el-GR"/>
        </w:rPr>
        <w:t>από το</w:t>
      </w:r>
      <w:r w:rsidRPr="007D2285">
        <w:rPr>
          <w:rFonts w:ascii="Times New Roman" w:hAnsi="Times New Roman" w:cs="Times New Roman"/>
          <w:sz w:val="32"/>
          <w:szCs w:val="32"/>
          <w:lang w:val="el-GR"/>
        </w:rPr>
        <w:t xml:space="preserve"> δημόσιο ταμείο μέχρι 14,5% </w:t>
      </w:r>
      <w:r w:rsidR="00D62D98">
        <w:rPr>
          <w:rFonts w:ascii="Times New Roman" w:hAnsi="Times New Roman" w:cs="Times New Roman"/>
          <w:sz w:val="32"/>
          <w:szCs w:val="32"/>
          <w:lang w:val="el-GR"/>
        </w:rPr>
        <w:t>επί των ακαθάριστων απολαβών</w:t>
      </w:r>
      <w:r w:rsidRPr="007D2285">
        <w:rPr>
          <w:rFonts w:ascii="Times New Roman" w:hAnsi="Times New Roman" w:cs="Times New Roman"/>
          <w:sz w:val="32"/>
          <w:szCs w:val="32"/>
          <w:lang w:val="el-GR"/>
        </w:rPr>
        <w:t xml:space="preserve"> (Ν. 168(Ι)/2012</w:t>
      </w:r>
      <w:r w:rsidR="00D62D98">
        <w:rPr>
          <w:rStyle w:val="FootnoteReference"/>
          <w:rFonts w:ascii="Times New Roman" w:hAnsi="Times New Roman" w:cs="Times New Roman"/>
          <w:sz w:val="32"/>
          <w:szCs w:val="32"/>
          <w:lang w:val="el-GR"/>
        </w:rPr>
        <w:footnoteReference w:id="10"/>
      </w:r>
      <w:r w:rsidR="00D62D98">
        <w:rPr>
          <w:rFonts w:ascii="Times New Roman" w:hAnsi="Times New Roman" w:cs="Times New Roman"/>
          <w:sz w:val="32"/>
          <w:szCs w:val="32"/>
          <w:lang w:val="el-GR"/>
        </w:rPr>
        <w:t>,</w:t>
      </w:r>
      <w:r w:rsidR="00D62D98">
        <w:rPr>
          <w:rStyle w:val="FootnoteReference"/>
          <w:rFonts w:ascii="Times New Roman" w:hAnsi="Times New Roman" w:cs="Times New Roman"/>
          <w:sz w:val="32"/>
          <w:szCs w:val="32"/>
          <w:lang w:val="el-GR"/>
        </w:rPr>
        <w:footnoteReference w:id="11"/>
      </w:r>
      <w:r w:rsidRPr="007D2285">
        <w:rPr>
          <w:rFonts w:ascii="Times New Roman" w:hAnsi="Times New Roman" w:cs="Times New Roman"/>
          <w:sz w:val="32"/>
          <w:szCs w:val="32"/>
          <w:lang w:val="el-GR"/>
        </w:rPr>
        <w:t xml:space="preserve">).  Παράλληλα τερματίστηκε η παραχώρηση </w:t>
      </w:r>
      <w:r w:rsidRPr="007D2285">
        <w:rPr>
          <w:rFonts w:ascii="Times New Roman" w:hAnsi="Times New Roman" w:cs="Times New Roman"/>
          <w:sz w:val="32"/>
          <w:szCs w:val="32"/>
          <w:lang w:val="el-GR"/>
        </w:rPr>
        <w:lastRenderedPageBreak/>
        <w:t>προσαυξήσεων και τιμαριθμικών αυξήσεων (Α.Τ.Α.) στις απολαβές και τις συντάξεις</w:t>
      </w:r>
      <w:r w:rsidR="00D804E0" w:rsidRPr="00D804E0">
        <w:rPr>
          <w:rFonts w:ascii="Times New Roman" w:hAnsi="Times New Roman" w:cs="Times New Roman"/>
          <w:sz w:val="32"/>
          <w:szCs w:val="32"/>
          <w:lang w:val="el-GR"/>
        </w:rPr>
        <w:t xml:space="preserve"> (</w:t>
      </w:r>
      <w:r w:rsidR="00D804E0">
        <w:rPr>
          <w:rFonts w:ascii="Times New Roman" w:hAnsi="Times New Roman" w:cs="Times New Roman"/>
          <w:sz w:val="32"/>
          <w:szCs w:val="32"/>
        </w:rPr>
        <w:t>N</w:t>
      </w:r>
      <w:r w:rsidR="00D804E0" w:rsidRPr="00D804E0">
        <w:rPr>
          <w:rFonts w:ascii="Times New Roman" w:hAnsi="Times New Roman" w:cs="Times New Roman"/>
          <w:sz w:val="32"/>
          <w:szCs w:val="32"/>
          <w:lang w:val="el-GR"/>
        </w:rPr>
        <w:t>. 92(</w:t>
      </w:r>
      <w:r w:rsidR="00D804E0">
        <w:rPr>
          <w:rFonts w:ascii="Times New Roman" w:hAnsi="Times New Roman" w:cs="Times New Roman"/>
          <w:sz w:val="32"/>
          <w:szCs w:val="32"/>
        </w:rPr>
        <w:t>I</w:t>
      </w:r>
      <w:r w:rsidR="00D804E0" w:rsidRPr="00D804E0">
        <w:rPr>
          <w:rFonts w:ascii="Times New Roman" w:hAnsi="Times New Roman" w:cs="Times New Roman"/>
          <w:sz w:val="32"/>
          <w:szCs w:val="32"/>
          <w:lang w:val="el-GR"/>
        </w:rPr>
        <w:t>)/2011)</w:t>
      </w:r>
      <w:r w:rsidR="00514BE7">
        <w:rPr>
          <w:rStyle w:val="FootnoteReference"/>
          <w:rFonts w:ascii="Times New Roman" w:hAnsi="Times New Roman" w:cs="Times New Roman"/>
          <w:sz w:val="32"/>
          <w:szCs w:val="32"/>
          <w:lang w:val="el-GR"/>
        </w:rPr>
        <w:footnoteReference w:id="12"/>
      </w:r>
      <w:r w:rsidRPr="007D2285">
        <w:rPr>
          <w:rFonts w:ascii="Times New Roman" w:hAnsi="Times New Roman" w:cs="Times New Roman"/>
          <w:sz w:val="32"/>
          <w:szCs w:val="32"/>
          <w:lang w:val="el-GR"/>
        </w:rPr>
        <w:t>.</w:t>
      </w:r>
    </w:p>
    <w:p w:rsidR="007D2285" w:rsidRPr="007D2285" w:rsidRDefault="007D2285" w:rsidP="00D85EE9">
      <w:pPr>
        <w:spacing w:after="0" w:line="480" w:lineRule="auto"/>
        <w:jc w:val="both"/>
        <w:rPr>
          <w:rFonts w:ascii="Times New Roman" w:hAnsi="Times New Roman" w:cs="Times New Roman"/>
          <w:sz w:val="32"/>
          <w:szCs w:val="32"/>
          <w:lang w:val="el-GR"/>
        </w:rPr>
      </w:pPr>
    </w:p>
    <w:p w:rsidR="00262AE5" w:rsidRDefault="00EB265C" w:rsidP="00D85EE9">
      <w:pPr>
        <w:spacing w:after="0" w:line="480" w:lineRule="auto"/>
        <w:jc w:val="both"/>
        <w:rPr>
          <w:rFonts w:ascii="Times New Roman" w:hAnsi="Times New Roman" w:cs="Times New Roman"/>
          <w:sz w:val="32"/>
          <w:szCs w:val="32"/>
          <w:lang w:val="el-GR"/>
        </w:rPr>
      </w:pPr>
      <w:r>
        <w:rPr>
          <w:rFonts w:ascii="Times New Roman" w:hAnsi="Times New Roman" w:cs="Times New Roman"/>
          <w:sz w:val="32"/>
          <w:szCs w:val="32"/>
          <w:lang w:val="el-GR"/>
        </w:rPr>
        <w:t>Περαιτέρω, δ</w:t>
      </w:r>
      <w:r w:rsidR="007D2285" w:rsidRPr="007D2285">
        <w:rPr>
          <w:rFonts w:ascii="Times New Roman" w:hAnsi="Times New Roman" w:cs="Times New Roman"/>
          <w:sz w:val="32"/>
          <w:szCs w:val="32"/>
          <w:lang w:val="el-GR"/>
        </w:rPr>
        <w:t>ραστικές ήταν οι μεταρρυθμίσεις αναφορικά με τα συνταξιοδοτικά ωφελήματα στ</w:t>
      </w:r>
      <w:r>
        <w:rPr>
          <w:rFonts w:ascii="Times New Roman" w:hAnsi="Times New Roman" w:cs="Times New Roman"/>
          <w:sz w:val="32"/>
          <w:szCs w:val="32"/>
          <w:lang w:val="el-GR"/>
        </w:rPr>
        <w:t>ο δημόσιο τομέα (Ν. 216(Ι)/2012</w:t>
      </w:r>
      <w:r w:rsidR="00D804E0" w:rsidRPr="007D2285">
        <w:rPr>
          <w:rFonts w:ascii="Times New Roman" w:hAnsi="Times New Roman" w:cs="Times New Roman"/>
          <w:sz w:val="32"/>
          <w:szCs w:val="32"/>
          <w:lang w:val="el-GR"/>
        </w:rPr>
        <w:t>)</w:t>
      </w:r>
      <w:r w:rsidR="00514BE7">
        <w:rPr>
          <w:rStyle w:val="FootnoteReference"/>
          <w:rFonts w:ascii="Times New Roman" w:hAnsi="Times New Roman" w:cs="Times New Roman"/>
          <w:sz w:val="32"/>
          <w:szCs w:val="32"/>
          <w:lang w:val="el-GR"/>
        </w:rPr>
        <w:footnoteReference w:id="13"/>
      </w:r>
      <w:r w:rsidR="007D2285" w:rsidRPr="007D2285">
        <w:rPr>
          <w:rFonts w:ascii="Times New Roman" w:hAnsi="Times New Roman" w:cs="Times New Roman"/>
          <w:sz w:val="32"/>
          <w:szCs w:val="32"/>
          <w:lang w:val="el-GR"/>
        </w:rPr>
        <w:t xml:space="preserve">.  Κατ΄αρχάς, για «σκοπούς βιωσιμότητας του Κυβερνητικού Σχεδίου Συντάξεων» προβλέφθηκαν αποκοπές 3% επί των μηνιαίων συντάξιμων απολαβών.  Η ηλικία υποχρεωτικής αφυπηρέτησης αυξήθηκε σταδιακά στα 65 χρόνια.  Επιβλήθηκε φορολογία (φόρος εισοδήματος) στο μέχρι τότε αφορολόγητο «εφάπαξ» ποσό ή φιλοδώρημα που καταβάλλεται στους δημοσίους υπαλλήλους με την αφυπηρέτησή τους.  </w:t>
      </w:r>
    </w:p>
    <w:p w:rsidR="00262AE5" w:rsidRDefault="00262AE5" w:rsidP="00D85EE9">
      <w:pPr>
        <w:spacing w:after="0" w:line="480" w:lineRule="auto"/>
        <w:jc w:val="both"/>
        <w:rPr>
          <w:rFonts w:ascii="Times New Roman" w:hAnsi="Times New Roman" w:cs="Times New Roman"/>
          <w:sz w:val="32"/>
          <w:szCs w:val="32"/>
          <w:lang w:val="el-GR"/>
        </w:rPr>
      </w:pPr>
    </w:p>
    <w:p w:rsidR="007D2285" w:rsidRDefault="007D2285" w:rsidP="00D85EE9">
      <w:pPr>
        <w:spacing w:after="0" w:line="480" w:lineRule="auto"/>
        <w:jc w:val="both"/>
        <w:rPr>
          <w:rFonts w:ascii="Times New Roman" w:hAnsi="Times New Roman" w:cs="Times New Roman"/>
          <w:sz w:val="32"/>
          <w:szCs w:val="32"/>
          <w:lang w:val="el-GR"/>
        </w:rPr>
      </w:pPr>
      <w:r w:rsidRPr="007D2285">
        <w:rPr>
          <w:rFonts w:ascii="Times New Roman" w:hAnsi="Times New Roman" w:cs="Times New Roman"/>
          <w:sz w:val="32"/>
          <w:szCs w:val="32"/>
          <w:lang w:val="el-GR"/>
        </w:rPr>
        <w:t xml:space="preserve">Όχι όμως πλέον σε όλους τους δημοσίους υπαλλήλους εφόσον με τον ίδιο Νόμο προβλέφθηκε ότι οι νεοεισερχόμενοι υπάλληλοι δεν </w:t>
      </w:r>
      <w:r w:rsidRPr="007D2285">
        <w:rPr>
          <w:rFonts w:ascii="Times New Roman" w:hAnsi="Times New Roman" w:cs="Times New Roman"/>
          <w:sz w:val="32"/>
          <w:szCs w:val="32"/>
          <w:lang w:val="el-GR"/>
        </w:rPr>
        <w:lastRenderedPageBreak/>
        <w:t>θα εντάσσονται στο Κυβερνητικό Σχέδιο Συντάξεων, άρα δεν θα έχουν δικαίωμα σε σύνταξη και σε «εφάπαξ» όταν αφυπηρετήσουν.</w:t>
      </w:r>
    </w:p>
    <w:p w:rsidR="007D2285" w:rsidRDefault="007D2285" w:rsidP="00D85EE9">
      <w:pPr>
        <w:spacing w:after="0" w:line="480" w:lineRule="auto"/>
        <w:jc w:val="both"/>
        <w:rPr>
          <w:rFonts w:ascii="Times New Roman" w:hAnsi="Times New Roman" w:cs="Times New Roman"/>
          <w:sz w:val="32"/>
          <w:szCs w:val="32"/>
          <w:lang w:val="el-GR"/>
        </w:rPr>
      </w:pPr>
    </w:p>
    <w:p w:rsidR="00262AE5" w:rsidRDefault="005741E4" w:rsidP="00D85EE9">
      <w:pPr>
        <w:spacing w:after="0" w:line="480" w:lineRule="auto"/>
        <w:jc w:val="both"/>
        <w:rPr>
          <w:rFonts w:ascii="Times New Roman" w:hAnsi="Times New Roman" w:cs="Times New Roman"/>
          <w:sz w:val="32"/>
          <w:szCs w:val="32"/>
          <w:lang w:val="el-GR"/>
        </w:rPr>
      </w:pPr>
      <w:r>
        <w:rPr>
          <w:rFonts w:ascii="Times New Roman" w:hAnsi="Times New Roman" w:cs="Times New Roman"/>
          <w:sz w:val="32"/>
          <w:szCs w:val="32"/>
          <w:lang w:val="el-GR"/>
        </w:rPr>
        <w:t xml:space="preserve">Λήφθηκαν και άλλα νομοθετικά μέτρα για συγκράτηση των δαπανών της κρατικής υπηρεσίας και του ευρύτερου δημόσιου τομέα.  Δεν θα επεκταθώ εφόσον σκοπός μου είναι να αναφερθώ στη νομολογία που αναπτύχθηκε </w:t>
      </w:r>
      <w:r w:rsidR="00262AE5">
        <w:rPr>
          <w:rFonts w:ascii="Times New Roman" w:hAnsi="Times New Roman" w:cs="Times New Roman"/>
          <w:sz w:val="32"/>
          <w:szCs w:val="32"/>
          <w:lang w:val="el-GR"/>
        </w:rPr>
        <w:t>και η νομολογία αναπτύχθηκε αποκλειστικά ή, τουλάχιστον, ουσιαστικά σε σχέση με</w:t>
      </w:r>
      <w:r>
        <w:rPr>
          <w:rFonts w:ascii="Times New Roman" w:hAnsi="Times New Roman" w:cs="Times New Roman"/>
          <w:sz w:val="32"/>
          <w:szCs w:val="32"/>
          <w:lang w:val="el-GR"/>
        </w:rPr>
        <w:t xml:space="preserve"> προσφυγές εργαζομένων του κρατικού και ευρύτερου δημόσιου τομέα</w:t>
      </w:r>
      <w:r w:rsidR="00262AE5">
        <w:rPr>
          <w:rFonts w:ascii="Times New Roman" w:hAnsi="Times New Roman" w:cs="Times New Roman"/>
          <w:sz w:val="32"/>
          <w:szCs w:val="32"/>
          <w:lang w:val="el-GR"/>
        </w:rPr>
        <w:t xml:space="preserve"> εναντίον αποκοπών ή μειώσεων στις απολαβές, συντάξεις και επιδόματα</w:t>
      </w:r>
      <w:r>
        <w:rPr>
          <w:rFonts w:ascii="Times New Roman" w:hAnsi="Times New Roman" w:cs="Times New Roman"/>
          <w:sz w:val="32"/>
          <w:szCs w:val="32"/>
          <w:lang w:val="el-GR"/>
        </w:rPr>
        <w:t xml:space="preserve">.  </w:t>
      </w:r>
    </w:p>
    <w:p w:rsidR="00262AE5" w:rsidRDefault="00262AE5" w:rsidP="00D85EE9">
      <w:pPr>
        <w:spacing w:after="0" w:line="480" w:lineRule="auto"/>
        <w:jc w:val="both"/>
        <w:rPr>
          <w:rFonts w:ascii="Times New Roman" w:hAnsi="Times New Roman" w:cs="Times New Roman"/>
          <w:sz w:val="32"/>
          <w:szCs w:val="32"/>
          <w:lang w:val="el-GR"/>
        </w:rPr>
      </w:pPr>
    </w:p>
    <w:p w:rsidR="005741E4" w:rsidRDefault="00262AE5" w:rsidP="00D85EE9">
      <w:pPr>
        <w:spacing w:after="0" w:line="480" w:lineRule="auto"/>
        <w:jc w:val="both"/>
        <w:rPr>
          <w:rFonts w:ascii="Times New Roman" w:hAnsi="Times New Roman" w:cs="Times New Roman"/>
          <w:sz w:val="32"/>
          <w:szCs w:val="32"/>
          <w:lang w:val="el-GR"/>
        </w:rPr>
      </w:pPr>
      <w:r>
        <w:rPr>
          <w:rFonts w:ascii="Times New Roman" w:hAnsi="Times New Roman" w:cs="Times New Roman"/>
          <w:sz w:val="32"/>
          <w:szCs w:val="32"/>
          <w:lang w:val="el-GR"/>
        </w:rPr>
        <w:t>Θα πρέπει δε εξ αρχής να λεχθεί ότι η</w:t>
      </w:r>
      <w:r w:rsidR="005741E4">
        <w:rPr>
          <w:rFonts w:ascii="Times New Roman" w:hAnsi="Times New Roman" w:cs="Times New Roman"/>
          <w:sz w:val="32"/>
          <w:szCs w:val="32"/>
          <w:lang w:val="el-GR"/>
        </w:rPr>
        <w:t xml:space="preserve"> δύσκολη εξισορρόπηση μεταξύ της ανάγκης αναγνώρισης των οικονομικών αναγκών και πραγματικοτήτων</w:t>
      </w:r>
      <w:r>
        <w:rPr>
          <w:rFonts w:ascii="Times New Roman" w:hAnsi="Times New Roman" w:cs="Times New Roman"/>
          <w:sz w:val="32"/>
          <w:szCs w:val="32"/>
          <w:lang w:val="el-GR"/>
        </w:rPr>
        <w:t>,</w:t>
      </w:r>
      <w:r w:rsidR="005741E4">
        <w:rPr>
          <w:rFonts w:ascii="Times New Roman" w:hAnsi="Times New Roman" w:cs="Times New Roman"/>
          <w:sz w:val="32"/>
          <w:szCs w:val="32"/>
          <w:lang w:val="el-GR"/>
        </w:rPr>
        <w:t xml:space="preserve"> αφενός και της ανάγκης για διασφάλιση των κοινωνικών δικαιωμάτων</w:t>
      </w:r>
      <w:r>
        <w:rPr>
          <w:rFonts w:ascii="Times New Roman" w:hAnsi="Times New Roman" w:cs="Times New Roman"/>
          <w:sz w:val="32"/>
          <w:szCs w:val="32"/>
          <w:lang w:val="el-GR"/>
        </w:rPr>
        <w:t>,</w:t>
      </w:r>
      <w:r w:rsidR="005741E4">
        <w:rPr>
          <w:rFonts w:ascii="Times New Roman" w:hAnsi="Times New Roman" w:cs="Times New Roman"/>
          <w:sz w:val="32"/>
          <w:szCs w:val="32"/>
          <w:lang w:val="el-GR"/>
        </w:rPr>
        <w:t xml:space="preserve"> αφετέρου, τέθηκε στην Κύπρο ως πρόβλημα συσχετισμού των προνοιών του άρθρου</w:t>
      </w:r>
      <w:r>
        <w:rPr>
          <w:rFonts w:ascii="Times New Roman" w:hAnsi="Times New Roman" w:cs="Times New Roman"/>
          <w:sz w:val="32"/>
          <w:szCs w:val="32"/>
          <w:lang w:val="el-GR"/>
        </w:rPr>
        <w:t xml:space="preserve"> 1 του Πρόσθετου Πρωτοκόλλου της Ευρωπαϊκής Σύμβασης</w:t>
      </w:r>
      <w:r w:rsidR="005741E4">
        <w:rPr>
          <w:rFonts w:ascii="Times New Roman" w:hAnsi="Times New Roman" w:cs="Times New Roman"/>
          <w:sz w:val="32"/>
          <w:szCs w:val="32"/>
          <w:lang w:val="el-GR"/>
        </w:rPr>
        <w:t xml:space="preserve"> με τις πρόνοιες του </w:t>
      </w:r>
      <w:r w:rsidR="003D6C39">
        <w:rPr>
          <w:rFonts w:ascii="Times New Roman" w:hAnsi="Times New Roman" w:cs="Times New Roman"/>
          <w:sz w:val="32"/>
          <w:szCs w:val="32"/>
          <w:lang w:val="el-GR"/>
        </w:rPr>
        <w:lastRenderedPageBreak/>
        <w:t>Ά</w:t>
      </w:r>
      <w:r w:rsidR="005741E4">
        <w:rPr>
          <w:rFonts w:ascii="Times New Roman" w:hAnsi="Times New Roman" w:cs="Times New Roman"/>
          <w:sz w:val="32"/>
          <w:szCs w:val="32"/>
          <w:lang w:val="el-GR"/>
        </w:rPr>
        <w:t>ρθρου 23</w:t>
      </w:r>
      <w:r>
        <w:rPr>
          <w:rFonts w:ascii="Times New Roman" w:hAnsi="Times New Roman" w:cs="Times New Roman"/>
          <w:sz w:val="32"/>
          <w:szCs w:val="32"/>
          <w:lang w:val="el-GR"/>
        </w:rPr>
        <w:t xml:space="preserve"> του Συντάγματος της Κύπρου</w:t>
      </w:r>
      <w:r w:rsidR="005741E4">
        <w:rPr>
          <w:rFonts w:ascii="Times New Roman" w:hAnsi="Times New Roman" w:cs="Times New Roman"/>
          <w:sz w:val="32"/>
          <w:szCs w:val="32"/>
          <w:lang w:val="el-GR"/>
        </w:rPr>
        <w:t>.  Αυτό είναι το ζήτημα στο οποίο η νομολογία με οδηγεί εν τέλει να επικεντρωθώ.</w:t>
      </w:r>
    </w:p>
    <w:p w:rsidR="005741E4" w:rsidRDefault="005741E4" w:rsidP="00D85EE9">
      <w:pPr>
        <w:spacing w:after="0" w:line="480" w:lineRule="auto"/>
        <w:jc w:val="both"/>
        <w:rPr>
          <w:rFonts w:ascii="Times New Roman" w:hAnsi="Times New Roman" w:cs="Times New Roman"/>
          <w:sz w:val="32"/>
          <w:szCs w:val="32"/>
          <w:lang w:val="el-GR"/>
        </w:rPr>
      </w:pPr>
    </w:p>
    <w:p w:rsidR="007D2285" w:rsidRDefault="007D2285" w:rsidP="00D85EE9">
      <w:pPr>
        <w:spacing w:after="0" w:line="480" w:lineRule="auto"/>
        <w:jc w:val="both"/>
        <w:rPr>
          <w:rFonts w:ascii="Times New Roman" w:hAnsi="Times New Roman" w:cs="Times New Roman"/>
          <w:sz w:val="32"/>
          <w:szCs w:val="32"/>
          <w:lang w:val="el-GR"/>
        </w:rPr>
      </w:pPr>
      <w:r>
        <w:rPr>
          <w:rFonts w:ascii="Times New Roman" w:hAnsi="Times New Roman" w:cs="Times New Roman"/>
          <w:sz w:val="32"/>
          <w:szCs w:val="32"/>
          <w:lang w:val="el-GR"/>
        </w:rPr>
        <w:t>Οι πρώτες υποθέσεις που κρίθηκαν από το Ανώτατο Δικαστήριο (Πλήρης Ολομέλεια) ήταν αριθμός διοικητικών προσφυγών με τις οποίες οι αιτητές, δημόσιοι υπάλληλοι, προσέβαλαν τις αποκοπές από τους μισθούς τους που είχαν γίνει με βάση το Ν. 112(Ι)/2011 (όπως τροποποιήθηκε με το Ν. 113(Ι)/2011)</w:t>
      </w:r>
      <w:r w:rsidR="00EB265C">
        <w:rPr>
          <w:rFonts w:ascii="Times New Roman" w:hAnsi="Times New Roman" w:cs="Times New Roman"/>
          <w:sz w:val="32"/>
          <w:szCs w:val="32"/>
          <w:lang w:val="el-GR"/>
        </w:rPr>
        <w:t>, υπό τη μορφή έκτακτης εισφοράς</w:t>
      </w:r>
      <w:r w:rsidR="00514BE7">
        <w:rPr>
          <w:rFonts w:ascii="Times New Roman" w:hAnsi="Times New Roman" w:cs="Times New Roman"/>
          <w:sz w:val="32"/>
          <w:szCs w:val="32"/>
          <w:lang w:val="el-GR"/>
        </w:rPr>
        <w:t xml:space="preserve"> μέχρι</w:t>
      </w:r>
      <w:r w:rsidR="00EB265C">
        <w:rPr>
          <w:rFonts w:ascii="Times New Roman" w:hAnsi="Times New Roman" w:cs="Times New Roman"/>
          <w:sz w:val="32"/>
          <w:szCs w:val="32"/>
          <w:lang w:val="el-GR"/>
        </w:rPr>
        <w:t xml:space="preserve">  ύψους 3,5%</w:t>
      </w:r>
      <w:r w:rsidR="00514BE7">
        <w:rPr>
          <w:rFonts w:ascii="Times New Roman" w:hAnsi="Times New Roman" w:cs="Times New Roman"/>
          <w:sz w:val="32"/>
          <w:szCs w:val="32"/>
          <w:lang w:val="el-GR"/>
        </w:rPr>
        <w:t xml:space="preserve"> (</w:t>
      </w:r>
      <w:r w:rsidR="00514BE7" w:rsidRPr="005741E4">
        <w:rPr>
          <w:rFonts w:ascii="Times New Roman" w:hAnsi="Times New Roman" w:cs="Times New Roman"/>
          <w:sz w:val="32"/>
          <w:szCs w:val="32"/>
          <w:u w:val="single"/>
          <w:lang w:val="el-GR"/>
        </w:rPr>
        <w:t>Χαραλάμπους και άλλοι ν. Κυπριακής Δημοκρατίας</w:t>
      </w:r>
      <w:r w:rsidR="00514BE7" w:rsidRPr="003D6C39">
        <w:rPr>
          <w:rFonts w:ascii="Times New Roman" w:hAnsi="Times New Roman" w:cs="Times New Roman"/>
          <w:sz w:val="32"/>
          <w:szCs w:val="32"/>
          <w:lang w:val="el-GR"/>
        </w:rPr>
        <w:t>, Συνεκδικαζόμενες Υποθέσεις Αρ. 1480/2011 κ.α. ημερομηνίας 11.6.2014</w:t>
      </w:r>
      <w:r w:rsidR="00514BE7">
        <w:rPr>
          <w:rFonts w:ascii="Times New Roman" w:hAnsi="Times New Roman" w:cs="Times New Roman"/>
          <w:sz w:val="32"/>
          <w:szCs w:val="32"/>
          <w:lang w:val="el-GR"/>
        </w:rPr>
        <w:t>)</w:t>
      </w:r>
      <w:r>
        <w:rPr>
          <w:rFonts w:ascii="Times New Roman" w:hAnsi="Times New Roman" w:cs="Times New Roman"/>
          <w:sz w:val="32"/>
          <w:szCs w:val="32"/>
          <w:lang w:val="el-GR"/>
        </w:rPr>
        <w:t>.</w:t>
      </w:r>
    </w:p>
    <w:p w:rsidR="007D2285" w:rsidRDefault="007D2285" w:rsidP="00D85EE9">
      <w:pPr>
        <w:spacing w:after="0" w:line="480" w:lineRule="auto"/>
        <w:jc w:val="both"/>
        <w:rPr>
          <w:rFonts w:ascii="Times New Roman" w:hAnsi="Times New Roman" w:cs="Times New Roman"/>
          <w:sz w:val="32"/>
          <w:szCs w:val="32"/>
          <w:lang w:val="el-GR"/>
        </w:rPr>
      </w:pPr>
    </w:p>
    <w:p w:rsidR="007D2285" w:rsidRDefault="007D2285" w:rsidP="00D85EE9">
      <w:pPr>
        <w:spacing w:after="0" w:line="480" w:lineRule="auto"/>
        <w:jc w:val="both"/>
        <w:rPr>
          <w:rFonts w:ascii="Times New Roman" w:hAnsi="Times New Roman" w:cs="Times New Roman"/>
          <w:sz w:val="32"/>
          <w:szCs w:val="32"/>
          <w:lang w:val="el-GR"/>
        </w:rPr>
      </w:pPr>
      <w:r>
        <w:rPr>
          <w:rFonts w:ascii="Times New Roman" w:hAnsi="Times New Roman" w:cs="Times New Roman"/>
          <w:sz w:val="32"/>
          <w:szCs w:val="32"/>
          <w:lang w:val="el-GR"/>
        </w:rPr>
        <w:t>Ως κύριοι λόγοι ακυρότητας προβλήθηκαν η παρ</w:t>
      </w:r>
      <w:r w:rsidR="005F574F">
        <w:rPr>
          <w:rFonts w:ascii="Times New Roman" w:hAnsi="Times New Roman" w:cs="Times New Roman"/>
          <w:sz w:val="32"/>
          <w:szCs w:val="32"/>
          <w:lang w:val="el-GR"/>
        </w:rPr>
        <w:t>αβία</w:t>
      </w:r>
      <w:r>
        <w:rPr>
          <w:rFonts w:ascii="Times New Roman" w:hAnsi="Times New Roman" w:cs="Times New Roman"/>
          <w:sz w:val="32"/>
          <w:szCs w:val="32"/>
          <w:lang w:val="el-GR"/>
        </w:rPr>
        <w:t>ση της αρχής της ισότητας (Άρθρο 28 του Συντάγματος) και φορολογικής ισότητας (Άρθρο 26 του Συντάγματος), η παραβίαση της αρχής της αναλογικότητας και η παραβίαση του δικαιώματος περιουσίας (Άρθρο 23 του Συντάγματος) και του άρθρου 1</w:t>
      </w:r>
      <w:r w:rsidR="00244B32">
        <w:rPr>
          <w:rFonts w:ascii="Times New Roman" w:hAnsi="Times New Roman" w:cs="Times New Roman"/>
          <w:sz w:val="32"/>
          <w:szCs w:val="32"/>
          <w:lang w:val="el-GR"/>
        </w:rPr>
        <w:t xml:space="preserve"> του Πρώτου Πρόσθετου Πρωτόκολλου.</w:t>
      </w:r>
    </w:p>
    <w:p w:rsidR="00244B32" w:rsidRDefault="00244B32" w:rsidP="00D85EE9">
      <w:pPr>
        <w:spacing w:after="0" w:line="480" w:lineRule="auto"/>
        <w:jc w:val="both"/>
        <w:rPr>
          <w:rFonts w:ascii="Times New Roman" w:hAnsi="Times New Roman" w:cs="Times New Roman"/>
          <w:sz w:val="32"/>
          <w:szCs w:val="32"/>
          <w:lang w:val="el-GR"/>
        </w:rPr>
      </w:pPr>
    </w:p>
    <w:p w:rsidR="00244B32" w:rsidRDefault="00244B32" w:rsidP="00D85EE9">
      <w:pPr>
        <w:spacing w:after="0" w:line="480" w:lineRule="auto"/>
        <w:jc w:val="both"/>
        <w:rPr>
          <w:rFonts w:ascii="Times New Roman" w:hAnsi="Times New Roman" w:cs="Times New Roman"/>
          <w:sz w:val="32"/>
          <w:szCs w:val="32"/>
          <w:lang w:val="el-GR"/>
        </w:rPr>
      </w:pPr>
      <w:r>
        <w:rPr>
          <w:rFonts w:ascii="Times New Roman" w:hAnsi="Times New Roman" w:cs="Times New Roman"/>
          <w:sz w:val="32"/>
          <w:szCs w:val="32"/>
          <w:lang w:val="el-GR"/>
        </w:rPr>
        <w:t>Η απόφαση της πλειοψηφίας έκρινε ότι δεν υπήρξε παραβίαση της αρχής της ισότητας</w:t>
      </w:r>
      <w:r w:rsidR="00EB265C">
        <w:rPr>
          <w:rFonts w:ascii="Times New Roman" w:hAnsi="Times New Roman" w:cs="Times New Roman"/>
          <w:sz w:val="32"/>
          <w:szCs w:val="32"/>
          <w:lang w:val="el-GR"/>
        </w:rPr>
        <w:t xml:space="preserve"> επί του προβληθέντος επιχειρήματος</w:t>
      </w:r>
      <w:r>
        <w:rPr>
          <w:rFonts w:ascii="Times New Roman" w:hAnsi="Times New Roman" w:cs="Times New Roman"/>
          <w:sz w:val="32"/>
          <w:szCs w:val="32"/>
          <w:lang w:val="el-GR"/>
        </w:rPr>
        <w:t xml:space="preserve"> ότι η δημοσιονομική επιβάρυνση δεν κατανεμήθηκε μεταξύ όλων των κατηγοριών εργαζομένων αλλά εναποτέθηκε στους μισθωτούς με πρώτους τους εργαζομένους στο δημόσιο τομέα.  Υποδείχθηκε</w:t>
      </w:r>
      <w:r w:rsidR="00EB265C">
        <w:rPr>
          <w:rFonts w:ascii="Times New Roman" w:hAnsi="Times New Roman" w:cs="Times New Roman"/>
          <w:sz w:val="32"/>
          <w:szCs w:val="32"/>
          <w:lang w:val="el-GR"/>
        </w:rPr>
        <w:t xml:space="preserve"> από το Δικαστήριο</w:t>
      </w:r>
      <w:r>
        <w:rPr>
          <w:rFonts w:ascii="Times New Roman" w:hAnsi="Times New Roman" w:cs="Times New Roman"/>
          <w:sz w:val="32"/>
          <w:szCs w:val="32"/>
          <w:lang w:val="el-GR"/>
        </w:rPr>
        <w:t xml:space="preserve"> ότι ένα από τα με</w:t>
      </w:r>
      <w:r w:rsidR="005F574F">
        <w:rPr>
          <w:rFonts w:ascii="Times New Roman" w:hAnsi="Times New Roman" w:cs="Times New Roman"/>
          <w:sz w:val="32"/>
          <w:szCs w:val="32"/>
          <w:lang w:val="el-GR"/>
        </w:rPr>
        <w:t>γ</w:t>
      </w:r>
      <w:r>
        <w:rPr>
          <w:rFonts w:ascii="Times New Roman" w:hAnsi="Times New Roman" w:cs="Times New Roman"/>
          <w:sz w:val="32"/>
          <w:szCs w:val="32"/>
          <w:lang w:val="el-GR"/>
        </w:rPr>
        <w:t xml:space="preserve">αλύτερα προβλήματα στα δημόσια οικονομικά ήταν το κρατικό μισθολόγιο και </w:t>
      </w:r>
      <w:r w:rsidR="00D91964">
        <w:rPr>
          <w:rFonts w:ascii="Times New Roman" w:hAnsi="Times New Roman" w:cs="Times New Roman"/>
          <w:sz w:val="32"/>
          <w:szCs w:val="32"/>
          <w:lang w:val="el-GR"/>
        </w:rPr>
        <w:t>υπομνήσθηκε</w:t>
      </w:r>
      <w:r>
        <w:rPr>
          <w:rFonts w:ascii="Times New Roman" w:hAnsi="Times New Roman" w:cs="Times New Roman"/>
          <w:sz w:val="32"/>
          <w:szCs w:val="32"/>
          <w:lang w:val="el-GR"/>
        </w:rPr>
        <w:t xml:space="preserve"> η ευρεία ευχέρεια του κράτους στη διαχείριση των δημοσίων οικονομικών, ειδικά σε περιόδους οικονομικής κρίσης, περιλαμβανομένης της λήψης νομοθετικών μέτρων για συγκεκριμένες ομάδες πολιτών, νοουμένου ότι η επέμβαση γίνεται για το δημόσιο καλό και δεν θέτει σε κίνδυνο την αξιοπρεπή διαβίωση του πολίτη.  Τούτων δοθέντων, αφού λήφθηκε υπόψιν το ύψος της κλιμακωτής εισφοράς και το έκτακτο του μέτρου, αποφασίστηκε ότι δεν υπήρξε παράβαση των αρχών της ισότητας και της αναλογικότητας.  Θεωρήθηκε, αντίθετα, λαμβανομένων υπόψιν των σοβαρών κινδύνων κατάρρευσης της οικονομίας και κλονισμού των θεμελίων του κοινωνικού ιστού ότι </w:t>
      </w:r>
      <w:r>
        <w:rPr>
          <w:rFonts w:ascii="Times New Roman" w:hAnsi="Times New Roman" w:cs="Times New Roman"/>
          <w:sz w:val="32"/>
          <w:szCs w:val="32"/>
          <w:lang w:val="el-GR"/>
        </w:rPr>
        <w:lastRenderedPageBreak/>
        <w:t xml:space="preserve">η θυσία στην οποία </w:t>
      </w:r>
      <w:r w:rsidR="00726C5D">
        <w:rPr>
          <w:rFonts w:ascii="Times New Roman" w:hAnsi="Times New Roman" w:cs="Times New Roman"/>
          <w:sz w:val="32"/>
          <w:szCs w:val="32"/>
          <w:lang w:val="el-GR"/>
        </w:rPr>
        <w:t>υπο</w:t>
      </w:r>
      <w:r>
        <w:rPr>
          <w:rFonts w:ascii="Times New Roman" w:hAnsi="Times New Roman" w:cs="Times New Roman"/>
          <w:sz w:val="32"/>
          <w:szCs w:val="32"/>
          <w:lang w:val="el-GR"/>
        </w:rPr>
        <w:t>βλήθηκαν οι μισθωτοί δεν υπερέβαινε τα αναμενόμενα όρια και ότι επρόκειτο για μια δίκαιη εξισορρ</w:t>
      </w:r>
      <w:r w:rsidR="005F574F">
        <w:rPr>
          <w:rFonts w:ascii="Times New Roman" w:hAnsi="Times New Roman" w:cs="Times New Roman"/>
          <w:sz w:val="32"/>
          <w:szCs w:val="32"/>
          <w:lang w:val="el-GR"/>
        </w:rPr>
        <w:t>όπησ</w:t>
      </w:r>
      <w:r>
        <w:rPr>
          <w:rFonts w:ascii="Times New Roman" w:hAnsi="Times New Roman" w:cs="Times New Roman"/>
          <w:sz w:val="32"/>
          <w:szCs w:val="32"/>
          <w:lang w:val="el-GR"/>
        </w:rPr>
        <w:t>η μεταξύ του επιδιωκόμενου δημοσίου συμφέροντος και των ατομικών δικαιωμάτων των επηρεαζομένων.</w:t>
      </w:r>
    </w:p>
    <w:p w:rsidR="00244B32" w:rsidRDefault="00244B32" w:rsidP="00D85EE9">
      <w:pPr>
        <w:spacing w:after="0" w:line="480" w:lineRule="auto"/>
        <w:jc w:val="both"/>
        <w:rPr>
          <w:rFonts w:ascii="Times New Roman" w:hAnsi="Times New Roman" w:cs="Times New Roman"/>
          <w:sz w:val="32"/>
          <w:szCs w:val="32"/>
          <w:lang w:val="el-GR"/>
        </w:rPr>
      </w:pPr>
    </w:p>
    <w:p w:rsidR="00EB265C" w:rsidRDefault="00726C5D" w:rsidP="00D85EE9">
      <w:pPr>
        <w:spacing w:after="0" w:line="480" w:lineRule="auto"/>
        <w:jc w:val="both"/>
        <w:rPr>
          <w:rFonts w:ascii="Times New Roman" w:hAnsi="Times New Roman" w:cs="Times New Roman"/>
          <w:sz w:val="32"/>
          <w:szCs w:val="32"/>
          <w:lang w:val="el-GR"/>
        </w:rPr>
      </w:pPr>
      <w:r>
        <w:rPr>
          <w:rFonts w:ascii="Times New Roman" w:hAnsi="Times New Roman" w:cs="Times New Roman"/>
          <w:sz w:val="32"/>
          <w:szCs w:val="32"/>
          <w:lang w:val="el-GR"/>
        </w:rPr>
        <w:t>Πριν προχωρήσω στα όσα αποφασίστηκαν σε σχέση με το Άρθρο 23 του κυπριακού Συντάγματος</w:t>
      </w:r>
      <w:r w:rsidR="00514BE7">
        <w:rPr>
          <w:rStyle w:val="FootnoteReference"/>
          <w:rFonts w:ascii="Times New Roman" w:hAnsi="Times New Roman" w:cs="Times New Roman"/>
          <w:sz w:val="32"/>
          <w:szCs w:val="32"/>
          <w:lang w:val="el-GR"/>
        </w:rPr>
        <w:footnoteReference w:id="14"/>
      </w:r>
      <w:r>
        <w:rPr>
          <w:rFonts w:ascii="Times New Roman" w:hAnsi="Times New Roman" w:cs="Times New Roman"/>
          <w:sz w:val="32"/>
          <w:szCs w:val="32"/>
          <w:lang w:val="el-GR"/>
        </w:rPr>
        <w:t xml:space="preserve"> που κατοχυρώνει το δικαίωμα ιδιοκτησίας, θα πρέπει να υποδε</w:t>
      </w:r>
      <w:r w:rsidR="00D91964">
        <w:rPr>
          <w:rFonts w:ascii="Times New Roman" w:hAnsi="Times New Roman" w:cs="Times New Roman"/>
          <w:sz w:val="32"/>
          <w:szCs w:val="32"/>
          <w:lang w:val="el-GR"/>
        </w:rPr>
        <w:t>ίξω</w:t>
      </w:r>
      <w:r>
        <w:rPr>
          <w:rFonts w:ascii="Times New Roman" w:hAnsi="Times New Roman" w:cs="Times New Roman"/>
          <w:sz w:val="32"/>
          <w:szCs w:val="32"/>
          <w:lang w:val="el-GR"/>
        </w:rPr>
        <w:t xml:space="preserve"> </w:t>
      </w:r>
      <w:r w:rsidR="005741E4">
        <w:rPr>
          <w:rFonts w:ascii="Times New Roman" w:hAnsi="Times New Roman" w:cs="Times New Roman"/>
          <w:sz w:val="32"/>
          <w:szCs w:val="32"/>
          <w:lang w:val="el-GR"/>
        </w:rPr>
        <w:t xml:space="preserve">επιτέλους </w:t>
      </w:r>
      <w:r w:rsidR="00D91964">
        <w:rPr>
          <w:rFonts w:ascii="Times New Roman" w:hAnsi="Times New Roman" w:cs="Times New Roman"/>
          <w:sz w:val="32"/>
          <w:szCs w:val="32"/>
          <w:lang w:val="el-GR"/>
        </w:rPr>
        <w:t>τ</w:t>
      </w:r>
      <w:r>
        <w:rPr>
          <w:rFonts w:ascii="Times New Roman" w:hAnsi="Times New Roman" w:cs="Times New Roman"/>
          <w:sz w:val="32"/>
          <w:szCs w:val="32"/>
          <w:lang w:val="el-GR"/>
        </w:rPr>
        <w:t>η σημαντική του διαφορά από το άρθρο 1 του πρώτου Πρωτοκόλλου της ΕΣΔΑ</w:t>
      </w:r>
      <w:r w:rsidR="001B4EEE">
        <w:rPr>
          <w:rStyle w:val="FootnoteReference"/>
          <w:rFonts w:ascii="Times New Roman" w:hAnsi="Times New Roman" w:cs="Times New Roman"/>
          <w:sz w:val="32"/>
          <w:szCs w:val="32"/>
          <w:lang w:val="el-GR"/>
        </w:rPr>
        <w:footnoteReference w:id="15"/>
      </w:r>
      <w:r>
        <w:rPr>
          <w:rFonts w:ascii="Times New Roman" w:hAnsi="Times New Roman" w:cs="Times New Roman"/>
          <w:sz w:val="32"/>
          <w:szCs w:val="32"/>
          <w:lang w:val="el-GR"/>
        </w:rPr>
        <w:t xml:space="preserve">, το </w:t>
      </w:r>
      <w:r>
        <w:rPr>
          <w:rFonts w:ascii="Times New Roman" w:hAnsi="Times New Roman" w:cs="Times New Roman"/>
          <w:sz w:val="32"/>
          <w:szCs w:val="32"/>
          <w:lang w:val="el-GR"/>
        </w:rPr>
        <w:lastRenderedPageBreak/>
        <w:t>άρθρο 17 του Χάρτη Ανθρωπίνων Δικαιωμάτων της Ευρωπαϊκής Ένωσης και το άρθρο 17 του ελληνικού Συντάγματος</w:t>
      </w:r>
      <w:r w:rsidR="00EB265C">
        <w:rPr>
          <w:rFonts w:ascii="Times New Roman" w:hAnsi="Times New Roman" w:cs="Times New Roman"/>
          <w:sz w:val="32"/>
          <w:szCs w:val="32"/>
          <w:lang w:val="el-GR"/>
        </w:rPr>
        <w:t>:</w:t>
      </w:r>
    </w:p>
    <w:p w:rsidR="00EB265C" w:rsidRDefault="00EB265C" w:rsidP="00D85EE9">
      <w:pPr>
        <w:spacing w:after="0" w:line="480" w:lineRule="auto"/>
        <w:jc w:val="both"/>
        <w:rPr>
          <w:rFonts w:ascii="Times New Roman" w:hAnsi="Times New Roman" w:cs="Times New Roman"/>
          <w:sz w:val="32"/>
          <w:szCs w:val="32"/>
          <w:lang w:val="el-GR"/>
        </w:rPr>
      </w:pPr>
    </w:p>
    <w:p w:rsidR="00D91964" w:rsidRDefault="00726C5D" w:rsidP="00D85EE9">
      <w:pPr>
        <w:spacing w:after="0" w:line="480" w:lineRule="auto"/>
        <w:jc w:val="both"/>
        <w:rPr>
          <w:rFonts w:ascii="Times New Roman" w:hAnsi="Times New Roman" w:cs="Times New Roman"/>
          <w:sz w:val="32"/>
          <w:szCs w:val="32"/>
          <w:lang w:val="el-GR"/>
        </w:rPr>
      </w:pPr>
      <w:r>
        <w:rPr>
          <w:rFonts w:ascii="Times New Roman" w:hAnsi="Times New Roman" w:cs="Times New Roman"/>
          <w:sz w:val="32"/>
          <w:szCs w:val="32"/>
          <w:lang w:val="el-GR"/>
        </w:rPr>
        <w:t>Ενώ τα ιδιοκτησιακά δικαιώματα σύμφωνα με το Πρωτόκολλο μπορούν να περιοριστούν για σκοπούς δημοσίας ωφέλειας ή δημοσίου συμφέροντος (</w:t>
      </w:r>
      <w:r>
        <w:rPr>
          <w:rFonts w:ascii="Times New Roman" w:hAnsi="Times New Roman" w:cs="Times New Roman"/>
          <w:sz w:val="32"/>
          <w:szCs w:val="32"/>
        </w:rPr>
        <w:t>public</w:t>
      </w:r>
      <w:r w:rsidRPr="00726C5D">
        <w:rPr>
          <w:rFonts w:ascii="Times New Roman" w:hAnsi="Times New Roman" w:cs="Times New Roman"/>
          <w:sz w:val="32"/>
          <w:szCs w:val="32"/>
          <w:lang w:val="el-GR"/>
        </w:rPr>
        <w:t xml:space="preserve"> </w:t>
      </w:r>
      <w:r>
        <w:rPr>
          <w:rFonts w:ascii="Times New Roman" w:hAnsi="Times New Roman" w:cs="Times New Roman"/>
          <w:sz w:val="32"/>
          <w:szCs w:val="32"/>
        </w:rPr>
        <w:t>interest</w:t>
      </w:r>
      <w:r w:rsidRPr="00726C5D">
        <w:rPr>
          <w:rFonts w:ascii="Times New Roman" w:hAnsi="Times New Roman" w:cs="Times New Roman"/>
          <w:sz w:val="32"/>
          <w:szCs w:val="32"/>
          <w:lang w:val="el-GR"/>
        </w:rPr>
        <w:t>)</w:t>
      </w:r>
      <w:r>
        <w:rPr>
          <w:rFonts w:ascii="Times New Roman" w:hAnsi="Times New Roman" w:cs="Times New Roman"/>
          <w:sz w:val="32"/>
          <w:szCs w:val="32"/>
          <w:lang w:val="el-GR"/>
        </w:rPr>
        <w:t>, οι προϋποθέσεις περιορισμού που θέτει το Άρθρο 23</w:t>
      </w:r>
      <w:r w:rsidR="001B4EEE">
        <w:rPr>
          <w:rFonts w:ascii="Times New Roman" w:hAnsi="Times New Roman" w:cs="Times New Roman"/>
          <w:sz w:val="32"/>
          <w:szCs w:val="32"/>
          <w:lang w:val="el-GR"/>
        </w:rPr>
        <w:t>.3</w:t>
      </w:r>
      <w:r>
        <w:rPr>
          <w:rFonts w:ascii="Times New Roman" w:hAnsi="Times New Roman" w:cs="Times New Roman"/>
          <w:sz w:val="32"/>
          <w:szCs w:val="32"/>
          <w:lang w:val="el-GR"/>
        </w:rPr>
        <w:t xml:space="preserve"> είναι στενότερες,  περιπτωσιολογικά αναφερόμενες σε λόγους</w:t>
      </w:r>
      <w:r w:rsidR="001B4EEE">
        <w:rPr>
          <w:rFonts w:ascii="Times New Roman" w:hAnsi="Times New Roman" w:cs="Times New Roman"/>
          <w:sz w:val="32"/>
          <w:szCs w:val="32"/>
          <w:lang w:val="el-GR"/>
        </w:rPr>
        <w:t>: (α)</w:t>
      </w:r>
      <w:r>
        <w:rPr>
          <w:rFonts w:ascii="Times New Roman" w:hAnsi="Times New Roman" w:cs="Times New Roman"/>
          <w:sz w:val="32"/>
          <w:szCs w:val="32"/>
          <w:lang w:val="el-GR"/>
        </w:rPr>
        <w:t xml:space="preserve"> δημόσιας ασφάλειας</w:t>
      </w:r>
      <w:r w:rsidR="001B4EEE">
        <w:rPr>
          <w:rFonts w:ascii="Times New Roman" w:hAnsi="Times New Roman" w:cs="Times New Roman"/>
          <w:sz w:val="32"/>
          <w:szCs w:val="32"/>
          <w:lang w:val="el-GR"/>
        </w:rPr>
        <w:t>, (β)</w:t>
      </w:r>
      <w:r>
        <w:rPr>
          <w:rFonts w:ascii="Times New Roman" w:hAnsi="Times New Roman" w:cs="Times New Roman"/>
          <w:sz w:val="32"/>
          <w:szCs w:val="32"/>
          <w:lang w:val="el-GR"/>
        </w:rPr>
        <w:t xml:space="preserve"> </w:t>
      </w:r>
      <w:r w:rsidR="001B4EEE">
        <w:rPr>
          <w:rFonts w:ascii="Times New Roman" w:hAnsi="Times New Roman" w:cs="Times New Roman"/>
          <w:sz w:val="32"/>
          <w:szCs w:val="32"/>
          <w:lang w:val="el-GR"/>
        </w:rPr>
        <w:t xml:space="preserve">δημόσιας υγείας, (γ) </w:t>
      </w:r>
      <w:r>
        <w:rPr>
          <w:rFonts w:ascii="Times New Roman" w:hAnsi="Times New Roman" w:cs="Times New Roman"/>
          <w:sz w:val="32"/>
          <w:szCs w:val="32"/>
          <w:lang w:val="el-GR"/>
        </w:rPr>
        <w:t>δημοσίων ηθών</w:t>
      </w:r>
      <w:r w:rsidR="001B4EEE">
        <w:rPr>
          <w:rFonts w:ascii="Times New Roman" w:hAnsi="Times New Roman" w:cs="Times New Roman"/>
          <w:sz w:val="32"/>
          <w:szCs w:val="32"/>
          <w:lang w:val="el-GR"/>
        </w:rPr>
        <w:t xml:space="preserve">, </w:t>
      </w:r>
      <w:r w:rsidR="00D91964">
        <w:rPr>
          <w:rFonts w:ascii="Times New Roman" w:hAnsi="Times New Roman" w:cs="Times New Roman"/>
          <w:sz w:val="32"/>
          <w:szCs w:val="32"/>
          <w:lang w:val="el-GR"/>
        </w:rPr>
        <w:t xml:space="preserve">                            </w:t>
      </w:r>
      <w:r w:rsidR="001B4EEE">
        <w:rPr>
          <w:rFonts w:ascii="Times New Roman" w:hAnsi="Times New Roman" w:cs="Times New Roman"/>
          <w:sz w:val="32"/>
          <w:szCs w:val="32"/>
          <w:lang w:val="el-GR"/>
        </w:rPr>
        <w:t>(δ)</w:t>
      </w:r>
      <w:r>
        <w:rPr>
          <w:rFonts w:ascii="Times New Roman" w:hAnsi="Times New Roman" w:cs="Times New Roman"/>
          <w:sz w:val="32"/>
          <w:szCs w:val="32"/>
          <w:lang w:val="el-GR"/>
        </w:rPr>
        <w:t xml:space="preserve"> πολεοδομίας</w:t>
      </w:r>
      <w:r w:rsidR="001B4EEE">
        <w:rPr>
          <w:rFonts w:ascii="Times New Roman" w:hAnsi="Times New Roman" w:cs="Times New Roman"/>
          <w:sz w:val="32"/>
          <w:szCs w:val="32"/>
          <w:lang w:val="el-GR"/>
        </w:rPr>
        <w:t xml:space="preserve"> και</w:t>
      </w:r>
      <w:r>
        <w:rPr>
          <w:rFonts w:ascii="Times New Roman" w:hAnsi="Times New Roman" w:cs="Times New Roman"/>
          <w:sz w:val="32"/>
          <w:szCs w:val="32"/>
          <w:lang w:val="el-GR"/>
        </w:rPr>
        <w:t xml:space="preserve"> ανάπτυξης και χρησιμοποίησης οποιασδήποτε ιδιοκτησίας </w:t>
      </w:r>
      <w:r w:rsidR="001B4EEE">
        <w:rPr>
          <w:rFonts w:ascii="Times New Roman" w:hAnsi="Times New Roman" w:cs="Times New Roman"/>
          <w:sz w:val="32"/>
          <w:szCs w:val="32"/>
          <w:lang w:val="el-GR"/>
        </w:rPr>
        <w:t>προς</w:t>
      </w:r>
      <w:r>
        <w:rPr>
          <w:rFonts w:ascii="Times New Roman" w:hAnsi="Times New Roman" w:cs="Times New Roman"/>
          <w:sz w:val="32"/>
          <w:szCs w:val="32"/>
          <w:lang w:val="el-GR"/>
        </w:rPr>
        <w:t xml:space="preserve"> προαγωγή</w:t>
      </w:r>
      <w:r w:rsidR="001B4EEE">
        <w:rPr>
          <w:rFonts w:ascii="Times New Roman" w:hAnsi="Times New Roman" w:cs="Times New Roman"/>
          <w:sz w:val="32"/>
          <w:szCs w:val="32"/>
          <w:lang w:val="el-GR"/>
        </w:rPr>
        <w:t xml:space="preserve"> της</w:t>
      </w:r>
      <w:r>
        <w:rPr>
          <w:rFonts w:ascii="Times New Roman" w:hAnsi="Times New Roman" w:cs="Times New Roman"/>
          <w:sz w:val="32"/>
          <w:szCs w:val="32"/>
          <w:lang w:val="el-GR"/>
        </w:rPr>
        <w:t xml:space="preserve"> δημόσιας ωφέλειας ή </w:t>
      </w:r>
      <w:r w:rsidR="001B4EEE">
        <w:rPr>
          <w:rFonts w:ascii="Times New Roman" w:hAnsi="Times New Roman" w:cs="Times New Roman"/>
          <w:sz w:val="32"/>
          <w:szCs w:val="32"/>
          <w:lang w:val="el-GR"/>
        </w:rPr>
        <w:t>προς</w:t>
      </w:r>
      <w:r>
        <w:rPr>
          <w:rFonts w:ascii="Times New Roman" w:hAnsi="Times New Roman" w:cs="Times New Roman"/>
          <w:sz w:val="32"/>
          <w:szCs w:val="32"/>
          <w:lang w:val="el-GR"/>
        </w:rPr>
        <w:t xml:space="preserve"> προστασία των δικαιωμάτων τρίτ</w:t>
      </w:r>
      <w:r w:rsidR="001B4EEE">
        <w:rPr>
          <w:rFonts w:ascii="Times New Roman" w:hAnsi="Times New Roman" w:cs="Times New Roman"/>
          <w:sz w:val="32"/>
          <w:szCs w:val="32"/>
          <w:lang w:val="el-GR"/>
        </w:rPr>
        <w:t>ων</w:t>
      </w:r>
      <w:r>
        <w:rPr>
          <w:rFonts w:ascii="Times New Roman" w:hAnsi="Times New Roman" w:cs="Times New Roman"/>
          <w:sz w:val="32"/>
          <w:szCs w:val="32"/>
          <w:lang w:val="el-GR"/>
        </w:rPr>
        <w:t xml:space="preserve">.  </w:t>
      </w:r>
    </w:p>
    <w:p w:rsidR="00D91964" w:rsidRDefault="00D91964" w:rsidP="00D85EE9">
      <w:pPr>
        <w:spacing w:after="0" w:line="480" w:lineRule="auto"/>
        <w:jc w:val="both"/>
        <w:rPr>
          <w:rFonts w:ascii="Times New Roman" w:hAnsi="Times New Roman" w:cs="Times New Roman"/>
          <w:sz w:val="32"/>
          <w:szCs w:val="32"/>
          <w:lang w:val="el-GR"/>
        </w:rPr>
      </w:pPr>
    </w:p>
    <w:p w:rsidR="00244B32" w:rsidRPr="00726C5D" w:rsidRDefault="00726C5D" w:rsidP="00D85EE9">
      <w:pPr>
        <w:spacing w:after="0" w:line="480" w:lineRule="auto"/>
        <w:jc w:val="both"/>
        <w:rPr>
          <w:rFonts w:ascii="Times New Roman" w:hAnsi="Times New Roman" w:cs="Times New Roman"/>
          <w:sz w:val="32"/>
          <w:szCs w:val="32"/>
          <w:lang w:val="el-GR"/>
        </w:rPr>
      </w:pPr>
      <w:r>
        <w:rPr>
          <w:rFonts w:ascii="Times New Roman" w:hAnsi="Times New Roman" w:cs="Times New Roman"/>
          <w:sz w:val="32"/>
          <w:szCs w:val="32"/>
          <w:lang w:val="el-GR"/>
        </w:rPr>
        <w:lastRenderedPageBreak/>
        <w:t>Ο όρος «δημόσια ωφέλεια</w:t>
      </w:r>
      <w:r w:rsidR="001B4EEE">
        <w:rPr>
          <w:rFonts w:ascii="Times New Roman" w:hAnsi="Times New Roman" w:cs="Times New Roman"/>
          <w:sz w:val="32"/>
          <w:szCs w:val="32"/>
          <w:lang w:val="el-GR"/>
        </w:rPr>
        <w:t>»,</w:t>
      </w:r>
      <w:r>
        <w:rPr>
          <w:rFonts w:ascii="Times New Roman" w:hAnsi="Times New Roman" w:cs="Times New Roman"/>
          <w:sz w:val="32"/>
          <w:szCs w:val="32"/>
          <w:lang w:val="el-GR"/>
        </w:rPr>
        <w:t xml:space="preserve"> ως αυτοτελής </w:t>
      </w:r>
      <w:r w:rsidR="001B4EEE">
        <w:rPr>
          <w:rFonts w:ascii="Times New Roman" w:hAnsi="Times New Roman" w:cs="Times New Roman"/>
          <w:sz w:val="32"/>
          <w:szCs w:val="32"/>
          <w:lang w:val="el-GR"/>
        </w:rPr>
        <w:t>λόγος</w:t>
      </w:r>
      <w:r>
        <w:rPr>
          <w:rFonts w:ascii="Times New Roman" w:hAnsi="Times New Roman" w:cs="Times New Roman"/>
          <w:sz w:val="32"/>
          <w:szCs w:val="32"/>
          <w:lang w:val="el-GR"/>
        </w:rPr>
        <w:t xml:space="preserve"> περιορισμού του δικαιώματος ιδιοκτησίας, απουσιάζει</w:t>
      </w:r>
      <w:r w:rsidR="00EB265C">
        <w:rPr>
          <w:rFonts w:ascii="Times New Roman" w:hAnsi="Times New Roman" w:cs="Times New Roman"/>
          <w:sz w:val="32"/>
          <w:szCs w:val="32"/>
          <w:lang w:val="el-GR"/>
        </w:rPr>
        <w:t xml:space="preserve"> από το Άρθρο 23</w:t>
      </w:r>
      <w:r>
        <w:rPr>
          <w:rFonts w:ascii="Times New Roman" w:hAnsi="Times New Roman" w:cs="Times New Roman"/>
          <w:sz w:val="32"/>
          <w:szCs w:val="32"/>
          <w:lang w:val="el-GR"/>
        </w:rPr>
        <w:t>.</w:t>
      </w:r>
    </w:p>
    <w:p w:rsidR="00726C5D" w:rsidRDefault="00726C5D" w:rsidP="00D85EE9">
      <w:pPr>
        <w:spacing w:after="0" w:line="480" w:lineRule="auto"/>
        <w:jc w:val="both"/>
        <w:rPr>
          <w:rFonts w:ascii="Times New Roman" w:hAnsi="Times New Roman" w:cs="Times New Roman"/>
          <w:sz w:val="32"/>
          <w:szCs w:val="32"/>
          <w:lang w:val="el-GR"/>
        </w:rPr>
      </w:pPr>
    </w:p>
    <w:p w:rsidR="00F22E03" w:rsidRDefault="00726C5D" w:rsidP="00D85EE9">
      <w:pPr>
        <w:spacing w:after="0" w:line="480" w:lineRule="auto"/>
        <w:jc w:val="both"/>
        <w:rPr>
          <w:rFonts w:ascii="Times New Roman" w:hAnsi="Times New Roman" w:cs="Times New Roman"/>
          <w:sz w:val="32"/>
          <w:szCs w:val="32"/>
          <w:lang w:val="el-GR"/>
        </w:rPr>
      </w:pPr>
      <w:r>
        <w:rPr>
          <w:rFonts w:ascii="Times New Roman" w:hAnsi="Times New Roman" w:cs="Times New Roman"/>
          <w:sz w:val="32"/>
          <w:szCs w:val="32"/>
          <w:lang w:val="el-GR"/>
        </w:rPr>
        <w:t>Το αυξημένο τούτο της προστασίας που παρέχει το Άρθρο 23 αναγνωρίστηκε στη</w:t>
      </w:r>
      <w:r w:rsidR="00F22E03">
        <w:rPr>
          <w:rFonts w:ascii="Times New Roman" w:hAnsi="Times New Roman" w:cs="Times New Roman"/>
          <w:sz w:val="32"/>
          <w:szCs w:val="32"/>
          <w:lang w:val="el-GR"/>
        </w:rPr>
        <w:t>ν</w:t>
      </w:r>
      <w:r w:rsidR="00A12619" w:rsidRPr="00A12619">
        <w:rPr>
          <w:rFonts w:ascii="Times New Roman" w:hAnsi="Times New Roman" w:cs="Times New Roman"/>
          <w:sz w:val="32"/>
          <w:szCs w:val="32"/>
          <w:lang w:val="el-GR"/>
        </w:rPr>
        <w:t xml:space="preserve"> </w:t>
      </w:r>
      <w:r w:rsidR="00D91964">
        <w:rPr>
          <w:rFonts w:ascii="Times New Roman" w:hAnsi="Times New Roman" w:cs="Times New Roman"/>
          <w:sz w:val="32"/>
          <w:szCs w:val="32"/>
          <w:lang w:val="el-GR"/>
        </w:rPr>
        <w:t xml:space="preserve">προαναφερθείσα </w:t>
      </w:r>
      <w:r w:rsidR="001B4EEE">
        <w:rPr>
          <w:rFonts w:ascii="Times New Roman" w:hAnsi="Times New Roman" w:cs="Times New Roman"/>
          <w:sz w:val="32"/>
          <w:szCs w:val="32"/>
          <w:lang w:val="el-GR"/>
        </w:rPr>
        <w:t xml:space="preserve">υπόθεση </w:t>
      </w:r>
      <w:r w:rsidR="00A12619">
        <w:rPr>
          <w:rFonts w:ascii="Times New Roman" w:hAnsi="Times New Roman" w:cs="Times New Roman"/>
          <w:sz w:val="32"/>
          <w:szCs w:val="32"/>
          <w:lang w:val="el-GR"/>
        </w:rPr>
        <w:t>Χαραλάμπους στην οποία, παράλληλα,</w:t>
      </w:r>
      <w:r>
        <w:rPr>
          <w:rFonts w:ascii="Times New Roman" w:hAnsi="Times New Roman" w:cs="Times New Roman"/>
          <w:sz w:val="32"/>
          <w:szCs w:val="32"/>
          <w:lang w:val="el-GR"/>
        </w:rPr>
        <w:t xml:space="preserve"> </w:t>
      </w:r>
      <w:r w:rsidR="00A12619">
        <w:rPr>
          <w:rFonts w:ascii="Times New Roman" w:hAnsi="Times New Roman" w:cs="Times New Roman"/>
          <w:sz w:val="32"/>
          <w:szCs w:val="32"/>
          <w:lang w:val="el-GR"/>
        </w:rPr>
        <w:t>δόθηκε</w:t>
      </w:r>
      <w:r w:rsidR="00D91964">
        <w:rPr>
          <w:rFonts w:ascii="Times New Roman" w:hAnsi="Times New Roman" w:cs="Times New Roman"/>
          <w:sz w:val="32"/>
          <w:szCs w:val="32"/>
          <w:lang w:val="el-GR"/>
        </w:rPr>
        <w:t xml:space="preserve"> και</w:t>
      </w:r>
      <w:r w:rsidR="00A12619">
        <w:rPr>
          <w:rFonts w:ascii="Times New Roman" w:hAnsi="Times New Roman" w:cs="Times New Roman"/>
          <w:sz w:val="32"/>
          <w:szCs w:val="32"/>
          <w:lang w:val="el-GR"/>
        </w:rPr>
        <w:t xml:space="preserve"> ευρύ περιεχόμενο στην έννοια της κινητής ιδιοκτησίας</w:t>
      </w:r>
      <w:r w:rsidR="001B4EEE">
        <w:rPr>
          <w:rFonts w:ascii="Times New Roman" w:hAnsi="Times New Roman" w:cs="Times New Roman"/>
          <w:sz w:val="32"/>
          <w:szCs w:val="32"/>
          <w:lang w:val="el-GR"/>
        </w:rPr>
        <w:t>.</w:t>
      </w:r>
      <w:r w:rsidR="00F22E03">
        <w:rPr>
          <w:rFonts w:ascii="Times New Roman" w:hAnsi="Times New Roman" w:cs="Times New Roman"/>
          <w:sz w:val="32"/>
          <w:szCs w:val="32"/>
          <w:lang w:val="el-GR"/>
        </w:rPr>
        <w:t xml:space="preserve">  Ακολουθήθηκε ως προς τούτο η ευρεία έννοια που η νομολογία του Σ</w:t>
      </w:r>
      <w:r w:rsidR="00D91964">
        <w:rPr>
          <w:rFonts w:ascii="Times New Roman" w:hAnsi="Times New Roman" w:cs="Times New Roman"/>
          <w:sz w:val="32"/>
          <w:szCs w:val="32"/>
          <w:lang w:val="el-GR"/>
        </w:rPr>
        <w:t>υμβουλίου της Επικρατείας της Ελλάδος</w:t>
      </w:r>
      <w:r w:rsidR="00F22E03">
        <w:rPr>
          <w:rFonts w:ascii="Times New Roman" w:hAnsi="Times New Roman" w:cs="Times New Roman"/>
          <w:sz w:val="32"/>
          <w:szCs w:val="32"/>
          <w:lang w:val="el-GR"/>
        </w:rPr>
        <w:t xml:space="preserve"> και του Ε</w:t>
      </w:r>
      <w:r w:rsidR="00D91964">
        <w:rPr>
          <w:rFonts w:ascii="Times New Roman" w:hAnsi="Times New Roman" w:cs="Times New Roman"/>
          <w:sz w:val="32"/>
          <w:szCs w:val="32"/>
          <w:lang w:val="el-GR"/>
        </w:rPr>
        <w:t xml:space="preserve">υρωπαϊκού </w:t>
      </w:r>
      <w:r w:rsidR="00F22E03">
        <w:rPr>
          <w:rFonts w:ascii="Times New Roman" w:hAnsi="Times New Roman" w:cs="Times New Roman"/>
          <w:sz w:val="32"/>
          <w:szCs w:val="32"/>
          <w:lang w:val="el-GR"/>
        </w:rPr>
        <w:t>Δ</w:t>
      </w:r>
      <w:r w:rsidR="00D91964">
        <w:rPr>
          <w:rFonts w:ascii="Times New Roman" w:hAnsi="Times New Roman" w:cs="Times New Roman"/>
          <w:sz w:val="32"/>
          <w:szCs w:val="32"/>
          <w:lang w:val="el-GR"/>
        </w:rPr>
        <w:t xml:space="preserve">ικαστηρίου για τα </w:t>
      </w:r>
      <w:r w:rsidR="00F22E03">
        <w:rPr>
          <w:rFonts w:ascii="Times New Roman" w:hAnsi="Times New Roman" w:cs="Times New Roman"/>
          <w:sz w:val="32"/>
          <w:szCs w:val="32"/>
          <w:lang w:val="el-GR"/>
        </w:rPr>
        <w:t>Δ</w:t>
      </w:r>
      <w:r w:rsidR="00D91964">
        <w:rPr>
          <w:rFonts w:ascii="Times New Roman" w:hAnsi="Times New Roman" w:cs="Times New Roman"/>
          <w:sz w:val="32"/>
          <w:szCs w:val="32"/>
          <w:lang w:val="el-GR"/>
        </w:rPr>
        <w:t>ικαιώματα του Ανθρώπου</w:t>
      </w:r>
      <w:r w:rsidR="00F22E03">
        <w:rPr>
          <w:rFonts w:ascii="Times New Roman" w:hAnsi="Times New Roman" w:cs="Times New Roman"/>
          <w:sz w:val="32"/>
          <w:szCs w:val="32"/>
          <w:lang w:val="el-GR"/>
        </w:rPr>
        <w:t xml:space="preserve"> προσέδωσε στον όρο «περιουσία» </w:t>
      </w:r>
      <w:r w:rsidR="00D91964">
        <w:rPr>
          <w:rFonts w:ascii="Times New Roman" w:hAnsi="Times New Roman" w:cs="Times New Roman"/>
          <w:sz w:val="32"/>
          <w:szCs w:val="32"/>
          <w:lang w:val="el-GR"/>
        </w:rPr>
        <w:t xml:space="preserve">όπως αυτός απαντάται στο άρθρο 1 του Πρωτοκόλλου, </w:t>
      </w:r>
      <w:r w:rsidR="00F22E03">
        <w:rPr>
          <w:rFonts w:ascii="Times New Roman" w:hAnsi="Times New Roman" w:cs="Times New Roman"/>
          <w:sz w:val="32"/>
          <w:szCs w:val="32"/>
          <w:lang w:val="el-GR"/>
        </w:rPr>
        <w:t>περιλαμβάνοντας όχι μόνο εμπράγματα δικαιώματα, αλλά και ενοχικής φύσεως περιουσιακά δικαιώματα</w:t>
      </w:r>
      <w:r w:rsidR="00D91964">
        <w:rPr>
          <w:rFonts w:ascii="Times New Roman" w:hAnsi="Times New Roman" w:cs="Times New Roman"/>
          <w:sz w:val="32"/>
          <w:szCs w:val="32"/>
          <w:lang w:val="el-GR"/>
        </w:rPr>
        <w:t>,</w:t>
      </w:r>
      <w:r w:rsidR="00F22E03">
        <w:rPr>
          <w:rFonts w:ascii="Times New Roman" w:hAnsi="Times New Roman" w:cs="Times New Roman"/>
          <w:sz w:val="32"/>
          <w:szCs w:val="32"/>
          <w:lang w:val="el-GR"/>
        </w:rPr>
        <w:t xml:space="preserve"> νοουμένου ότι υπάρχει νόμιμη προσδοκία ανάκτησης τους με βάση το εθνικό δίκαιο. </w:t>
      </w:r>
      <w:r w:rsidR="00A12619">
        <w:rPr>
          <w:rFonts w:ascii="Times New Roman" w:hAnsi="Times New Roman" w:cs="Times New Roman"/>
          <w:sz w:val="32"/>
          <w:szCs w:val="32"/>
          <w:lang w:val="el-GR"/>
        </w:rPr>
        <w:t xml:space="preserve">  Έτσι, με μια μόνο διαφορετική γνώμη επί του προκειμένου, </w:t>
      </w:r>
      <w:r w:rsidR="00F22E03">
        <w:rPr>
          <w:rFonts w:ascii="Times New Roman" w:hAnsi="Times New Roman" w:cs="Times New Roman"/>
          <w:sz w:val="32"/>
          <w:szCs w:val="32"/>
          <w:lang w:val="el-GR"/>
        </w:rPr>
        <w:t>σύμφωνα με την οποία</w:t>
      </w:r>
      <w:r w:rsidR="000B442D">
        <w:rPr>
          <w:rFonts w:ascii="Times New Roman" w:hAnsi="Times New Roman" w:cs="Times New Roman"/>
          <w:sz w:val="32"/>
          <w:szCs w:val="32"/>
          <w:lang w:val="el-GR"/>
        </w:rPr>
        <w:t>, υπό το πρίσμα του Άρθρου 23,</w:t>
      </w:r>
      <w:r w:rsidR="00F22E03">
        <w:rPr>
          <w:rFonts w:ascii="Times New Roman" w:hAnsi="Times New Roman" w:cs="Times New Roman"/>
          <w:sz w:val="32"/>
          <w:szCs w:val="32"/>
          <w:lang w:val="el-GR"/>
        </w:rPr>
        <w:t xml:space="preserve"> η προσδοκία για μελλοντικούς μισθούς διαφοροποιείται από το δικαίωμα για δεδουλευμένους μισθούς</w:t>
      </w:r>
      <w:r w:rsidR="000B442D">
        <w:rPr>
          <w:rFonts w:ascii="Times New Roman" w:hAnsi="Times New Roman" w:cs="Times New Roman"/>
          <w:sz w:val="32"/>
          <w:szCs w:val="32"/>
          <w:lang w:val="el-GR"/>
        </w:rPr>
        <w:t xml:space="preserve"> </w:t>
      </w:r>
      <w:r w:rsidR="00F22E03">
        <w:rPr>
          <w:rFonts w:ascii="Times New Roman" w:hAnsi="Times New Roman" w:cs="Times New Roman"/>
          <w:sz w:val="32"/>
          <w:szCs w:val="32"/>
          <w:lang w:val="el-GR"/>
        </w:rPr>
        <w:t xml:space="preserve">και από το δικαίωμα επί αποκρυσταλλωμένης </w:t>
      </w:r>
      <w:r w:rsidR="001B4EEE">
        <w:rPr>
          <w:rFonts w:ascii="Times New Roman" w:hAnsi="Times New Roman" w:cs="Times New Roman"/>
          <w:sz w:val="32"/>
          <w:szCs w:val="32"/>
          <w:lang w:val="el-GR"/>
        </w:rPr>
        <w:t>σύνταξης</w:t>
      </w:r>
      <w:r w:rsidR="00F22E03">
        <w:rPr>
          <w:rFonts w:ascii="Times New Roman" w:hAnsi="Times New Roman" w:cs="Times New Roman"/>
          <w:sz w:val="32"/>
          <w:szCs w:val="32"/>
          <w:lang w:val="el-GR"/>
        </w:rPr>
        <w:t>, κρίθηκε ότι</w:t>
      </w:r>
      <w:r w:rsidR="00A12619">
        <w:rPr>
          <w:rFonts w:ascii="Times New Roman" w:hAnsi="Times New Roman" w:cs="Times New Roman"/>
          <w:sz w:val="32"/>
          <w:szCs w:val="32"/>
          <w:lang w:val="el-GR"/>
        </w:rPr>
        <w:t xml:space="preserve"> οι αποκοπές από τους </w:t>
      </w:r>
      <w:r w:rsidR="00A12619">
        <w:rPr>
          <w:rFonts w:ascii="Times New Roman" w:hAnsi="Times New Roman" w:cs="Times New Roman"/>
          <w:sz w:val="32"/>
          <w:szCs w:val="32"/>
          <w:lang w:val="el-GR"/>
        </w:rPr>
        <w:lastRenderedPageBreak/>
        <w:t>μισθούς συνιστούν ιδιοκτησιακό δικαίωμα εν τη εννοία του Άρθρου 23.1 και «</w:t>
      </w:r>
      <w:r w:rsidR="00A12619" w:rsidRPr="00A25F1A">
        <w:rPr>
          <w:rFonts w:ascii="Times New Roman" w:hAnsi="Times New Roman" w:cs="Times New Roman"/>
          <w:i/>
          <w:sz w:val="32"/>
          <w:szCs w:val="32"/>
          <w:lang w:val="el-GR"/>
        </w:rPr>
        <w:t>επομένως οποιαδήποτε παρέμβαση δεν μπορεί παρά να ενταχθεί στο Άρθρο 23 του Συντάγματος</w:t>
      </w:r>
      <w:r w:rsidR="00A12619">
        <w:rPr>
          <w:rFonts w:ascii="Times New Roman" w:hAnsi="Times New Roman" w:cs="Times New Roman"/>
          <w:sz w:val="32"/>
          <w:szCs w:val="32"/>
          <w:lang w:val="el-GR"/>
        </w:rPr>
        <w:t xml:space="preserve">». </w:t>
      </w:r>
      <w:r w:rsidR="00F22E03">
        <w:rPr>
          <w:rFonts w:ascii="Times New Roman" w:hAnsi="Times New Roman" w:cs="Times New Roman"/>
          <w:sz w:val="32"/>
          <w:szCs w:val="32"/>
          <w:lang w:val="el-GR"/>
        </w:rPr>
        <w:t xml:space="preserve"> </w:t>
      </w:r>
      <w:r w:rsidR="00A12619">
        <w:rPr>
          <w:rFonts w:ascii="Times New Roman" w:hAnsi="Times New Roman" w:cs="Times New Roman"/>
          <w:sz w:val="32"/>
          <w:szCs w:val="32"/>
          <w:lang w:val="el-GR"/>
        </w:rPr>
        <w:t xml:space="preserve"> </w:t>
      </w:r>
    </w:p>
    <w:p w:rsidR="00F22E03" w:rsidRDefault="00F22E03" w:rsidP="00D85EE9">
      <w:pPr>
        <w:spacing w:after="0" w:line="480" w:lineRule="auto"/>
        <w:jc w:val="both"/>
        <w:rPr>
          <w:rFonts w:ascii="Times New Roman" w:hAnsi="Times New Roman" w:cs="Times New Roman"/>
          <w:sz w:val="32"/>
          <w:szCs w:val="32"/>
          <w:lang w:val="el-GR"/>
        </w:rPr>
      </w:pPr>
    </w:p>
    <w:p w:rsidR="006848BF" w:rsidRDefault="000B442D" w:rsidP="00D85EE9">
      <w:pPr>
        <w:spacing w:after="0" w:line="480" w:lineRule="auto"/>
        <w:jc w:val="both"/>
        <w:rPr>
          <w:rFonts w:ascii="Times New Roman" w:hAnsi="Times New Roman" w:cs="Times New Roman"/>
          <w:sz w:val="32"/>
          <w:szCs w:val="32"/>
          <w:lang w:val="el-GR"/>
        </w:rPr>
      </w:pPr>
      <w:r>
        <w:rPr>
          <w:rFonts w:ascii="Times New Roman" w:hAnsi="Times New Roman" w:cs="Times New Roman"/>
          <w:sz w:val="32"/>
          <w:szCs w:val="32"/>
          <w:lang w:val="el-GR"/>
        </w:rPr>
        <w:t>Παρά ταύτα, δ</w:t>
      </w:r>
      <w:r w:rsidR="00A12619">
        <w:rPr>
          <w:rFonts w:ascii="Times New Roman" w:hAnsi="Times New Roman" w:cs="Times New Roman"/>
          <w:sz w:val="32"/>
          <w:szCs w:val="32"/>
          <w:lang w:val="el-GR"/>
        </w:rPr>
        <w:t>εν εξετάστηκε το ζήτημα υπό τις προϋποθέσεις που θέτει το Άρθρο 23.3</w:t>
      </w:r>
      <w:r w:rsidR="001B4EEE">
        <w:rPr>
          <w:rFonts w:ascii="Times New Roman" w:hAnsi="Times New Roman" w:cs="Times New Roman"/>
          <w:sz w:val="32"/>
          <w:szCs w:val="32"/>
          <w:lang w:val="el-GR"/>
        </w:rPr>
        <w:t>,</w:t>
      </w:r>
      <w:r w:rsidR="00A12619">
        <w:rPr>
          <w:rFonts w:ascii="Times New Roman" w:hAnsi="Times New Roman" w:cs="Times New Roman"/>
          <w:sz w:val="32"/>
          <w:szCs w:val="32"/>
          <w:lang w:val="el-GR"/>
        </w:rPr>
        <w:t xml:space="preserve"> εφόσον θεωρήθηκε ότι το δικαίωμα ιδιοκτησίας δεν εκτείνεται στο ύψος του μισθού.  Το επίδικο ερώτημα τελικά </w:t>
      </w:r>
      <w:r w:rsidR="001B4EEE">
        <w:rPr>
          <w:rFonts w:ascii="Times New Roman" w:hAnsi="Times New Roman" w:cs="Times New Roman"/>
          <w:sz w:val="32"/>
          <w:szCs w:val="32"/>
          <w:lang w:val="el-GR"/>
        </w:rPr>
        <w:t>επικεντρώθηκε</w:t>
      </w:r>
      <w:r w:rsidR="00A12619">
        <w:rPr>
          <w:rFonts w:ascii="Times New Roman" w:hAnsi="Times New Roman" w:cs="Times New Roman"/>
          <w:sz w:val="32"/>
          <w:szCs w:val="32"/>
          <w:lang w:val="el-GR"/>
        </w:rPr>
        <w:t xml:space="preserve"> στο κατά πόσο</w:t>
      </w:r>
      <w:r w:rsidR="001B4EEE">
        <w:rPr>
          <w:rFonts w:ascii="Times New Roman" w:hAnsi="Times New Roman" w:cs="Times New Roman"/>
          <w:sz w:val="32"/>
          <w:szCs w:val="32"/>
          <w:lang w:val="el-GR"/>
        </w:rPr>
        <w:t>ν</w:t>
      </w:r>
      <w:r w:rsidR="00A12619">
        <w:rPr>
          <w:rFonts w:ascii="Times New Roman" w:hAnsi="Times New Roman" w:cs="Times New Roman"/>
          <w:sz w:val="32"/>
          <w:szCs w:val="32"/>
          <w:lang w:val="el-GR"/>
        </w:rPr>
        <w:t xml:space="preserve"> η μικρή αποκοπή, μεταξύ 1,5%-3,5% υπό τη μορφή έκτακτου μέτρου οδηγεί σε αδρανοποίηση ή ουσιαστικό περιορισμό του δικαιώματος. </w:t>
      </w:r>
      <w:r w:rsidR="00F22E03">
        <w:rPr>
          <w:rFonts w:ascii="Times New Roman" w:hAnsi="Times New Roman" w:cs="Times New Roman"/>
          <w:sz w:val="32"/>
          <w:szCs w:val="32"/>
          <w:lang w:val="el-GR"/>
        </w:rPr>
        <w:t xml:space="preserve"> </w:t>
      </w:r>
      <w:r w:rsidR="00A12619">
        <w:rPr>
          <w:rFonts w:ascii="Times New Roman" w:hAnsi="Times New Roman" w:cs="Times New Roman"/>
          <w:sz w:val="32"/>
          <w:szCs w:val="32"/>
          <w:lang w:val="el-GR"/>
        </w:rPr>
        <w:t xml:space="preserve"> </w:t>
      </w:r>
      <w:r w:rsidR="001B4EEE">
        <w:rPr>
          <w:rFonts w:ascii="Times New Roman" w:hAnsi="Times New Roman" w:cs="Times New Roman"/>
          <w:sz w:val="32"/>
          <w:szCs w:val="32"/>
          <w:lang w:val="el-GR"/>
        </w:rPr>
        <w:t>Κρίθηκε ότι η</w:t>
      </w:r>
      <w:r w:rsidR="00F22E03">
        <w:rPr>
          <w:rFonts w:ascii="Times New Roman" w:hAnsi="Times New Roman" w:cs="Times New Roman"/>
          <w:sz w:val="32"/>
          <w:szCs w:val="32"/>
          <w:lang w:val="el-GR"/>
        </w:rPr>
        <w:t xml:space="preserve"> σχετικά</w:t>
      </w:r>
      <w:r w:rsidR="001B4EEE">
        <w:rPr>
          <w:rFonts w:ascii="Times New Roman" w:hAnsi="Times New Roman" w:cs="Times New Roman"/>
          <w:sz w:val="32"/>
          <w:szCs w:val="32"/>
          <w:lang w:val="el-GR"/>
        </w:rPr>
        <w:t xml:space="preserve"> </w:t>
      </w:r>
      <w:r w:rsidR="00F22E03">
        <w:rPr>
          <w:rFonts w:ascii="Times New Roman" w:hAnsi="Times New Roman" w:cs="Times New Roman"/>
          <w:sz w:val="32"/>
          <w:szCs w:val="32"/>
          <w:lang w:val="el-GR"/>
        </w:rPr>
        <w:t xml:space="preserve"> μικρή</w:t>
      </w:r>
      <w:r w:rsidR="001B4EEE">
        <w:rPr>
          <w:rFonts w:ascii="Times New Roman" w:hAnsi="Times New Roman" w:cs="Times New Roman"/>
          <w:sz w:val="32"/>
          <w:szCs w:val="32"/>
          <w:lang w:val="el-GR"/>
        </w:rPr>
        <w:t xml:space="preserve"> αυτή</w:t>
      </w:r>
      <w:r w:rsidR="00F22E03">
        <w:rPr>
          <w:rFonts w:ascii="Times New Roman" w:hAnsi="Times New Roman" w:cs="Times New Roman"/>
          <w:sz w:val="32"/>
          <w:szCs w:val="32"/>
          <w:lang w:val="el-GR"/>
        </w:rPr>
        <w:t xml:space="preserve"> μείωση δεν επηρέαζε τον πυρήνα του δικαιώματος επί του μισθού, ο οποίο</w:t>
      </w:r>
      <w:r w:rsidR="00A25F1A">
        <w:rPr>
          <w:rFonts w:ascii="Times New Roman" w:hAnsi="Times New Roman" w:cs="Times New Roman"/>
          <w:sz w:val="32"/>
          <w:szCs w:val="32"/>
          <w:lang w:val="el-GR"/>
        </w:rPr>
        <w:t>ς</w:t>
      </w:r>
      <w:r w:rsidR="00F22E03">
        <w:rPr>
          <w:rFonts w:ascii="Times New Roman" w:hAnsi="Times New Roman" w:cs="Times New Roman"/>
          <w:sz w:val="32"/>
          <w:szCs w:val="32"/>
          <w:lang w:val="el-GR"/>
        </w:rPr>
        <w:t xml:space="preserve"> παραμένει άθικτο</w:t>
      </w:r>
      <w:r w:rsidR="00A25F1A">
        <w:rPr>
          <w:rFonts w:ascii="Times New Roman" w:hAnsi="Times New Roman" w:cs="Times New Roman"/>
          <w:sz w:val="32"/>
          <w:szCs w:val="32"/>
          <w:lang w:val="el-GR"/>
        </w:rPr>
        <w:t>ς</w:t>
      </w:r>
      <w:r w:rsidR="00F22E03">
        <w:rPr>
          <w:rFonts w:ascii="Times New Roman" w:hAnsi="Times New Roman" w:cs="Times New Roman"/>
          <w:sz w:val="32"/>
          <w:szCs w:val="32"/>
          <w:lang w:val="el-GR"/>
        </w:rPr>
        <w:t xml:space="preserve"> και καθόλου δεν αδρανοποιείται ώστε να </w:t>
      </w:r>
      <w:r w:rsidR="00A25F1A">
        <w:rPr>
          <w:rFonts w:ascii="Times New Roman" w:hAnsi="Times New Roman" w:cs="Times New Roman"/>
          <w:sz w:val="32"/>
          <w:szCs w:val="32"/>
          <w:lang w:val="el-GR"/>
        </w:rPr>
        <w:t xml:space="preserve">πρόκειται για </w:t>
      </w:r>
      <w:r w:rsidR="00F22E03">
        <w:rPr>
          <w:rFonts w:ascii="Times New Roman" w:hAnsi="Times New Roman" w:cs="Times New Roman"/>
          <w:sz w:val="32"/>
          <w:szCs w:val="32"/>
          <w:lang w:val="el-GR"/>
        </w:rPr>
        <w:t xml:space="preserve">στέρηση εκτός των επιτρεπτών πλαισίων του Άρθρου 23.  Τέτοια προσέγγιση αντανακλά τη νομολογία του ΕΔΔΑ σύμφωνα με την οποία το άρθρο 1 δεν κατοχυρώνει δικαίωμα </w:t>
      </w:r>
      <w:r w:rsidR="00A25F1A">
        <w:rPr>
          <w:rFonts w:ascii="Times New Roman" w:hAnsi="Times New Roman" w:cs="Times New Roman"/>
          <w:sz w:val="32"/>
          <w:szCs w:val="32"/>
          <w:lang w:val="el-GR"/>
        </w:rPr>
        <w:t>για</w:t>
      </w:r>
      <w:r w:rsidR="00F22E03">
        <w:rPr>
          <w:rFonts w:ascii="Times New Roman" w:hAnsi="Times New Roman" w:cs="Times New Roman"/>
          <w:sz w:val="32"/>
          <w:szCs w:val="32"/>
          <w:lang w:val="el-GR"/>
        </w:rPr>
        <w:t xml:space="preserve"> μισθό ή σύνταξη ορισμένου ύψους και κατά συνέπεια δεν αποκλείεται κατ΄αρχήν η διαφοροποίηση, υπό προϋποθέσεις, στο ύψος του μισθού ή της </w:t>
      </w:r>
      <w:r w:rsidR="00F22E03">
        <w:rPr>
          <w:rFonts w:ascii="Times New Roman" w:hAnsi="Times New Roman" w:cs="Times New Roman"/>
          <w:sz w:val="32"/>
          <w:szCs w:val="32"/>
          <w:lang w:val="el-GR"/>
        </w:rPr>
        <w:lastRenderedPageBreak/>
        <w:t>σύνταξης σε συνθήκες κρίσιμης κατάστασης για την οικονομ</w:t>
      </w:r>
      <w:r w:rsidR="006848BF">
        <w:rPr>
          <w:rFonts w:ascii="Times New Roman" w:hAnsi="Times New Roman" w:cs="Times New Roman"/>
          <w:sz w:val="32"/>
          <w:szCs w:val="32"/>
          <w:lang w:val="el-GR"/>
        </w:rPr>
        <w:t>ία</w:t>
      </w:r>
      <w:r w:rsidR="001B4EEE">
        <w:rPr>
          <w:rFonts w:ascii="Times New Roman" w:hAnsi="Times New Roman" w:cs="Times New Roman"/>
          <w:sz w:val="32"/>
          <w:szCs w:val="32"/>
          <w:lang w:val="el-GR"/>
        </w:rPr>
        <w:t xml:space="preserve"> και νοουμένου ότι δεν τίθεται σε κίνδυνο η αξιοπρεπής διαβίωση</w:t>
      </w:r>
      <w:r w:rsidR="00485917">
        <w:rPr>
          <w:rStyle w:val="FootnoteReference"/>
          <w:rFonts w:ascii="Times New Roman" w:hAnsi="Times New Roman" w:cs="Times New Roman"/>
          <w:sz w:val="32"/>
          <w:szCs w:val="32"/>
          <w:lang w:val="el-GR"/>
        </w:rPr>
        <w:footnoteReference w:id="16"/>
      </w:r>
      <w:r w:rsidR="006848BF">
        <w:rPr>
          <w:rFonts w:ascii="Times New Roman" w:hAnsi="Times New Roman" w:cs="Times New Roman"/>
          <w:sz w:val="32"/>
          <w:szCs w:val="32"/>
          <w:lang w:val="el-GR"/>
        </w:rPr>
        <w:t xml:space="preserve"> (βλ. </w:t>
      </w:r>
      <w:r w:rsidR="006848BF" w:rsidRPr="007C2404">
        <w:rPr>
          <w:rFonts w:ascii="Times New Roman" w:hAnsi="Times New Roman" w:cs="Times New Roman"/>
          <w:sz w:val="32"/>
          <w:szCs w:val="32"/>
          <w:u w:val="single"/>
          <w:lang w:val="el-GR"/>
        </w:rPr>
        <w:t>απόφαση ΣτΕ 668/2012</w:t>
      </w:r>
      <w:r w:rsidR="006848BF">
        <w:rPr>
          <w:rFonts w:ascii="Times New Roman" w:hAnsi="Times New Roman" w:cs="Times New Roman"/>
          <w:sz w:val="32"/>
          <w:szCs w:val="32"/>
          <w:lang w:val="el-GR"/>
        </w:rPr>
        <w:t xml:space="preserve"> (Ολομέλεια)).</w:t>
      </w:r>
    </w:p>
    <w:p w:rsidR="006848BF" w:rsidRDefault="006848BF" w:rsidP="00D85EE9">
      <w:pPr>
        <w:spacing w:after="0" w:line="480" w:lineRule="auto"/>
        <w:jc w:val="both"/>
        <w:rPr>
          <w:rFonts w:ascii="Times New Roman" w:hAnsi="Times New Roman" w:cs="Times New Roman"/>
          <w:sz w:val="32"/>
          <w:szCs w:val="32"/>
          <w:lang w:val="el-GR"/>
        </w:rPr>
      </w:pPr>
    </w:p>
    <w:p w:rsidR="00A12619" w:rsidRDefault="006848BF" w:rsidP="00D85EE9">
      <w:pPr>
        <w:spacing w:after="0" w:line="480" w:lineRule="auto"/>
        <w:jc w:val="both"/>
        <w:rPr>
          <w:rFonts w:ascii="Times New Roman" w:hAnsi="Times New Roman" w:cs="Times New Roman"/>
          <w:sz w:val="32"/>
          <w:szCs w:val="32"/>
          <w:lang w:val="el-GR"/>
        </w:rPr>
      </w:pPr>
      <w:r>
        <w:rPr>
          <w:rFonts w:ascii="Times New Roman" w:hAnsi="Times New Roman" w:cs="Times New Roman"/>
          <w:sz w:val="32"/>
          <w:szCs w:val="32"/>
          <w:lang w:val="el-GR"/>
        </w:rPr>
        <w:t xml:space="preserve">Η κατάληξη ήταν να απορριφθεί το παράπονο των αιτητών για παραβίαση του Άρθρου 23.  Για τους ίδιους λόγους απορρίφθηκε </w:t>
      </w:r>
      <w:r>
        <w:rPr>
          <w:rFonts w:ascii="Times New Roman" w:hAnsi="Times New Roman" w:cs="Times New Roman"/>
          <w:sz w:val="32"/>
          <w:szCs w:val="32"/>
        </w:rPr>
        <w:t>a</w:t>
      </w:r>
      <w:r w:rsidRPr="006848BF">
        <w:rPr>
          <w:rFonts w:ascii="Times New Roman" w:hAnsi="Times New Roman" w:cs="Times New Roman"/>
          <w:sz w:val="32"/>
          <w:szCs w:val="32"/>
          <w:lang w:val="el-GR"/>
        </w:rPr>
        <w:t xml:space="preserve"> </w:t>
      </w:r>
      <w:r>
        <w:rPr>
          <w:rFonts w:ascii="Times New Roman" w:hAnsi="Times New Roman" w:cs="Times New Roman"/>
          <w:sz w:val="32"/>
          <w:szCs w:val="32"/>
        </w:rPr>
        <w:t>fortiori</w:t>
      </w:r>
      <w:r>
        <w:rPr>
          <w:rFonts w:ascii="Times New Roman" w:hAnsi="Times New Roman" w:cs="Times New Roman"/>
          <w:sz w:val="32"/>
          <w:szCs w:val="32"/>
          <w:lang w:val="el-GR"/>
        </w:rPr>
        <w:t xml:space="preserve"> η εισήγηση για παραβίαση του ολιγότερο περιοριστικού άρθρου 1.  Αντίθετα η μειοψηφία έκρινε ότι, εφόσον ο περιορισμός στους μισθούς, ουσιώδης ή μη, δεν ενέπιπτε σε οποιαδήποτε από τις επιτρεπόμενες εξαιρέσεις που ρητά προβλέπονται στο Άρθρο 23.3, ο Νόμος παραβιάζει, άνευ ετέρου, το Σύνταγμα.</w:t>
      </w:r>
      <w:r w:rsidR="00A12619">
        <w:rPr>
          <w:rFonts w:ascii="Times New Roman" w:hAnsi="Times New Roman" w:cs="Times New Roman"/>
          <w:sz w:val="32"/>
          <w:szCs w:val="32"/>
          <w:lang w:val="el-GR"/>
        </w:rPr>
        <w:t xml:space="preserve">  </w:t>
      </w:r>
    </w:p>
    <w:p w:rsidR="00A12619" w:rsidRDefault="00A12619" w:rsidP="00D85EE9">
      <w:pPr>
        <w:spacing w:after="0" w:line="480" w:lineRule="auto"/>
        <w:jc w:val="both"/>
        <w:rPr>
          <w:rFonts w:ascii="Times New Roman" w:hAnsi="Times New Roman" w:cs="Times New Roman"/>
          <w:sz w:val="32"/>
          <w:szCs w:val="32"/>
          <w:lang w:val="el-GR"/>
        </w:rPr>
      </w:pPr>
    </w:p>
    <w:p w:rsidR="00244B32" w:rsidRDefault="006848BF" w:rsidP="00D85EE9">
      <w:pPr>
        <w:spacing w:after="0" w:line="480" w:lineRule="auto"/>
        <w:jc w:val="both"/>
        <w:rPr>
          <w:rFonts w:ascii="Times New Roman" w:hAnsi="Times New Roman" w:cs="Times New Roman"/>
          <w:sz w:val="32"/>
          <w:szCs w:val="32"/>
          <w:lang w:val="el-GR"/>
        </w:rPr>
      </w:pPr>
      <w:r>
        <w:rPr>
          <w:rFonts w:ascii="Times New Roman" w:hAnsi="Times New Roman" w:cs="Times New Roman"/>
          <w:sz w:val="32"/>
          <w:szCs w:val="32"/>
          <w:lang w:val="el-GR"/>
        </w:rPr>
        <w:t>Τέτοια ήταν η προσέγγιση στην απόφαση που ακολούθησε</w:t>
      </w:r>
      <w:r w:rsidR="00A25F1A">
        <w:rPr>
          <w:rFonts w:ascii="Times New Roman" w:hAnsi="Times New Roman" w:cs="Times New Roman"/>
          <w:sz w:val="32"/>
          <w:szCs w:val="32"/>
          <w:lang w:val="el-GR"/>
        </w:rPr>
        <w:t>,</w:t>
      </w:r>
      <w:r>
        <w:rPr>
          <w:rFonts w:ascii="Times New Roman" w:hAnsi="Times New Roman" w:cs="Times New Roman"/>
          <w:sz w:val="32"/>
          <w:szCs w:val="32"/>
          <w:lang w:val="el-GR"/>
        </w:rPr>
        <w:t xml:space="preserve"> η οποία αφορούσε την περιστολή των διπλών συντάξεων κρατικών αξιωματούχων με βάση τον προαναφερθέντα Νόμο 88(Ι)/2011</w:t>
      </w:r>
      <w:r w:rsidR="00485917" w:rsidRPr="00485917">
        <w:rPr>
          <w:rFonts w:ascii="Times New Roman" w:hAnsi="Times New Roman" w:cs="Times New Roman"/>
          <w:sz w:val="32"/>
          <w:szCs w:val="32"/>
          <w:lang w:val="el-GR"/>
        </w:rPr>
        <w:t xml:space="preserve"> </w:t>
      </w:r>
      <w:r w:rsidR="00485917" w:rsidRPr="00485917">
        <w:rPr>
          <w:rFonts w:ascii="Times New Roman" w:hAnsi="Times New Roman" w:cs="Times New Roman"/>
          <w:sz w:val="32"/>
          <w:szCs w:val="32"/>
          <w:lang w:val="el-GR"/>
        </w:rPr>
        <w:lastRenderedPageBreak/>
        <w:t>(</w:t>
      </w:r>
      <w:r w:rsidR="00485917" w:rsidRPr="000B442D">
        <w:rPr>
          <w:rFonts w:ascii="Times New Roman" w:hAnsi="Times New Roman" w:cs="Times New Roman"/>
          <w:sz w:val="32"/>
          <w:szCs w:val="32"/>
          <w:u w:val="single"/>
          <w:lang w:val="el-GR"/>
        </w:rPr>
        <w:t xml:space="preserve">Κουτσελλίνη-Ιωαννίδου και άλλοι ν. Κυπριακής Δημοκρατίας, </w:t>
      </w:r>
      <w:r w:rsidR="00485917" w:rsidRPr="007C2404">
        <w:rPr>
          <w:rFonts w:ascii="Times New Roman" w:hAnsi="Times New Roman" w:cs="Times New Roman"/>
          <w:sz w:val="32"/>
          <w:szCs w:val="32"/>
          <w:lang w:val="el-GR"/>
        </w:rPr>
        <w:t>Συνεκδικαζόμενες Υποθέσεις αρ. 740/2011 κ.α., ημερομηνίας 7.10.2014</w:t>
      </w:r>
      <w:r w:rsidR="00485917">
        <w:rPr>
          <w:rFonts w:ascii="Times New Roman" w:hAnsi="Times New Roman" w:cs="Times New Roman"/>
          <w:sz w:val="32"/>
          <w:szCs w:val="32"/>
          <w:lang w:val="el-GR"/>
        </w:rPr>
        <w:t>)</w:t>
      </w:r>
      <w:r>
        <w:rPr>
          <w:rFonts w:ascii="Times New Roman" w:hAnsi="Times New Roman" w:cs="Times New Roman"/>
          <w:sz w:val="32"/>
          <w:szCs w:val="32"/>
          <w:lang w:val="el-GR"/>
        </w:rPr>
        <w:t xml:space="preserve">. </w:t>
      </w:r>
      <w:r w:rsidR="00713FDE">
        <w:rPr>
          <w:rFonts w:ascii="Times New Roman" w:hAnsi="Times New Roman" w:cs="Times New Roman"/>
          <w:sz w:val="32"/>
          <w:szCs w:val="32"/>
          <w:lang w:val="el-GR"/>
        </w:rPr>
        <w:t xml:space="preserve"> </w:t>
      </w:r>
      <w:r>
        <w:rPr>
          <w:rFonts w:ascii="Times New Roman" w:hAnsi="Times New Roman" w:cs="Times New Roman"/>
          <w:sz w:val="32"/>
          <w:szCs w:val="32"/>
          <w:lang w:val="el-GR"/>
        </w:rPr>
        <w:t>Μ</w:t>
      </w:r>
      <w:r w:rsidR="000604B8">
        <w:rPr>
          <w:rFonts w:ascii="Times New Roman" w:hAnsi="Times New Roman" w:cs="Times New Roman"/>
          <w:sz w:val="32"/>
          <w:szCs w:val="32"/>
          <w:lang w:val="el-GR"/>
        </w:rPr>
        <w:t xml:space="preserve">ε δεδομένη την ένταξη των ήδη αποκρυσταλλωμένων συνταξιοδοτικών ωφελημάτων στην προστασία του </w:t>
      </w:r>
      <w:r>
        <w:rPr>
          <w:rFonts w:ascii="Times New Roman" w:hAnsi="Times New Roman" w:cs="Times New Roman"/>
          <w:sz w:val="32"/>
          <w:szCs w:val="32"/>
          <w:lang w:val="el-GR"/>
        </w:rPr>
        <w:t>Ά</w:t>
      </w:r>
      <w:r w:rsidR="000604B8">
        <w:rPr>
          <w:rFonts w:ascii="Times New Roman" w:hAnsi="Times New Roman" w:cs="Times New Roman"/>
          <w:sz w:val="32"/>
          <w:szCs w:val="32"/>
          <w:lang w:val="el-GR"/>
        </w:rPr>
        <w:t xml:space="preserve">ρθρου 23, κρίθηκε </w:t>
      </w:r>
      <w:r w:rsidR="00485917">
        <w:rPr>
          <w:rFonts w:ascii="Times New Roman" w:hAnsi="Times New Roman" w:cs="Times New Roman"/>
          <w:sz w:val="32"/>
          <w:szCs w:val="32"/>
          <w:lang w:val="el-GR"/>
        </w:rPr>
        <w:t xml:space="preserve">από την πλειοψηφία </w:t>
      </w:r>
      <w:r w:rsidR="000604B8">
        <w:rPr>
          <w:rFonts w:ascii="Times New Roman" w:hAnsi="Times New Roman" w:cs="Times New Roman"/>
          <w:sz w:val="32"/>
          <w:szCs w:val="32"/>
          <w:lang w:val="el-GR"/>
        </w:rPr>
        <w:t>ότι</w:t>
      </w:r>
      <w:r w:rsidR="00A12619">
        <w:rPr>
          <w:rFonts w:ascii="Times New Roman" w:hAnsi="Times New Roman" w:cs="Times New Roman"/>
          <w:sz w:val="32"/>
          <w:szCs w:val="32"/>
          <w:lang w:val="el-GR"/>
        </w:rPr>
        <w:t xml:space="preserve"> </w:t>
      </w:r>
      <w:r w:rsidR="000604B8">
        <w:rPr>
          <w:rFonts w:ascii="Times New Roman" w:hAnsi="Times New Roman" w:cs="Times New Roman"/>
          <w:sz w:val="32"/>
          <w:szCs w:val="32"/>
          <w:lang w:val="el-GR"/>
        </w:rPr>
        <w:t>ο περιορισμός</w:t>
      </w:r>
      <w:r>
        <w:rPr>
          <w:rFonts w:ascii="Times New Roman" w:hAnsi="Times New Roman" w:cs="Times New Roman"/>
          <w:sz w:val="32"/>
          <w:szCs w:val="32"/>
          <w:lang w:val="el-GR"/>
        </w:rPr>
        <w:t xml:space="preserve"> θα</w:t>
      </w:r>
      <w:r w:rsidR="000604B8">
        <w:rPr>
          <w:rFonts w:ascii="Times New Roman" w:hAnsi="Times New Roman" w:cs="Times New Roman"/>
          <w:sz w:val="32"/>
          <w:szCs w:val="32"/>
          <w:lang w:val="el-GR"/>
        </w:rPr>
        <w:t xml:space="preserve"> ήταν επιτρεπτός μόνο για τους σκοπούς που αναφέρονται στο Άρθρο 23.3</w:t>
      </w:r>
      <w:r w:rsidR="00A25F1A">
        <w:rPr>
          <w:rStyle w:val="FootnoteReference"/>
          <w:rFonts w:ascii="Times New Roman" w:hAnsi="Times New Roman" w:cs="Times New Roman"/>
          <w:sz w:val="32"/>
          <w:szCs w:val="32"/>
          <w:lang w:val="el-GR"/>
        </w:rPr>
        <w:footnoteReference w:id="17"/>
      </w:r>
      <w:r w:rsidR="000604B8">
        <w:rPr>
          <w:rFonts w:ascii="Times New Roman" w:hAnsi="Times New Roman" w:cs="Times New Roman"/>
          <w:sz w:val="32"/>
          <w:szCs w:val="32"/>
          <w:lang w:val="el-GR"/>
        </w:rPr>
        <w:t>.  Οπότε, θεωρήθηκε ότι δεν ετίθετο ζήτημα στάθμισης του γενικού συμφέροντος της κοινωνίας, αφενός και του ατομικού δικαιώματος ιδιοκτησίας των αιτητών, αφετέρου, όπως η στάθμιση αυτή γίνεται στα πλαίσια εφαρμογής του άρθρου 1 του πρώτου Πρωτοκόλλου.  Άλλωστε, σημειώθηκε ότι στην αιτιολογική έκθεση δεν υπήρχε καν επίκληση λόγ</w:t>
      </w:r>
      <w:r>
        <w:rPr>
          <w:rFonts w:ascii="Times New Roman" w:hAnsi="Times New Roman" w:cs="Times New Roman"/>
          <w:sz w:val="32"/>
          <w:szCs w:val="32"/>
          <w:lang w:val="el-GR"/>
        </w:rPr>
        <w:t>ων</w:t>
      </w:r>
      <w:r w:rsidR="000604B8">
        <w:rPr>
          <w:rFonts w:ascii="Times New Roman" w:hAnsi="Times New Roman" w:cs="Times New Roman"/>
          <w:sz w:val="32"/>
          <w:szCs w:val="32"/>
          <w:lang w:val="el-GR"/>
        </w:rPr>
        <w:t xml:space="preserve"> δημοσίου συμφέροντος</w:t>
      </w:r>
      <w:r>
        <w:rPr>
          <w:rFonts w:ascii="Times New Roman" w:hAnsi="Times New Roman" w:cs="Times New Roman"/>
          <w:sz w:val="32"/>
          <w:szCs w:val="32"/>
          <w:lang w:val="el-GR"/>
        </w:rPr>
        <w:t>,</w:t>
      </w:r>
      <w:r w:rsidR="000604B8">
        <w:rPr>
          <w:rFonts w:ascii="Times New Roman" w:hAnsi="Times New Roman" w:cs="Times New Roman"/>
          <w:sz w:val="32"/>
          <w:szCs w:val="32"/>
          <w:lang w:val="el-GR"/>
        </w:rPr>
        <w:t xml:space="preserve"> αλλά επίκληση λόγ</w:t>
      </w:r>
      <w:r>
        <w:rPr>
          <w:rFonts w:ascii="Times New Roman" w:hAnsi="Times New Roman" w:cs="Times New Roman"/>
          <w:sz w:val="32"/>
          <w:szCs w:val="32"/>
          <w:lang w:val="el-GR"/>
        </w:rPr>
        <w:t>ων</w:t>
      </w:r>
      <w:r w:rsidR="000604B8">
        <w:rPr>
          <w:rFonts w:ascii="Times New Roman" w:hAnsi="Times New Roman" w:cs="Times New Roman"/>
          <w:sz w:val="32"/>
          <w:szCs w:val="32"/>
          <w:lang w:val="el-GR"/>
        </w:rPr>
        <w:t xml:space="preserve"> </w:t>
      </w:r>
      <w:r>
        <w:rPr>
          <w:rFonts w:ascii="Times New Roman" w:hAnsi="Times New Roman" w:cs="Times New Roman"/>
          <w:sz w:val="32"/>
          <w:szCs w:val="32"/>
          <w:lang w:val="el-GR"/>
        </w:rPr>
        <w:t>«</w:t>
      </w:r>
      <w:r w:rsidR="000604B8">
        <w:rPr>
          <w:rFonts w:ascii="Times New Roman" w:hAnsi="Times New Roman" w:cs="Times New Roman"/>
          <w:sz w:val="32"/>
          <w:szCs w:val="32"/>
          <w:lang w:val="el-GR"/>
        </w:rPr>
        <w:t>εκσυγχρονισμού του συστήματος συντάξεων</w:t>
      </w:r>
      <w:r>
        <w:rPr>
          <w:rFonts w:ascii="Times New Roman" w:hAnsi="Times New Roman" w:cs="Times New Roman"/>
          <w:sz w:val="32"/>
          <w:szCs w:val="32"/>
          <w:lang w:val="el-GR"/>
        </w:rPr>
        <w:t>»</w:t>
      </w:r>
      <w:r w:rsidR="000604B8">
        <w:rPr>
          <w:rFonts w:ascii="Times New Roman" w:hAnsi="Times New Roman" w:cs="Times New Roman"/>
          <w:sz w:val="32"/>
          <w:szCs w:val="32"/>
          <w:lang w:val="el-GR"/>
        </w:rPr>
        <w:t>.  Εν πάση περιπτώσει, η ουσία ήταν ότι επρόκειτο περί επιβολής περιορισμού που δεν εδικαιολογείτο, ως μη ρητά προνοούμενος από το Άρθρο 23.3</w:t>
      </w:r>
      <w:r w:rsidR="00CB3ADC">
        <w:rPr>
          <w:rFonts w:ascii="Times New Roman" w:hAnsi="Times New Roman" w:cs="Times New Roman"/>
          <w:sz w:val="32"/>
          <w:szCs w:val="32"/>
          <w:lang w:val="el-GR"/>
        </w:rPr>
        <w:t>.</w:t>
      </w:r>
    </w:p>
    <w:p w:rsidR="00C02094" w:rsidRDefault="00C02094" w:rsidP="00D85EE9">
      <w:pPr>
        <w:spacing w:after="0" w:line="480" w:lineRule="auto"/>
        <w:jc w:val="both"/>
        <w:rPr>
          <w:rFonts w:ascii="Times New Roman" w:hAnsi="Times New Roman" w:cs="Times New Roman"/>
          <w:sz w:val="32"/>
          <w:szCs w:val="32"/>
          <w:lang w:val="el-GR"/>
        </w:rPr>
      </w:pPr>
    </w:p>
    <w:p w:rsidR="00C02094" w:rsidRDefault="00C02094" w:rsidP="00D85EE9">
      <w:pPr>
        <w:spacing w:after="0" w:line="480" w:lineRule="auto"/>
        <w:jc w:val="both"/>
        <w:rPr>
          <w:rFonts w:ascii="Times New Roman" w:hAnsi="Times New Roman" w:cs="Times New Roman"/>
          <w:sz w:val="32"/>
          <w:szCs w:val="32"/>
          <w:lang w:val="el-GR"/>
        </w:rPr>
      </w:pPr>
      <w:r>
        <w:rPr>
          <w:rFonts w:ascii="Times New Roman" w:hAnsi="Times New Roman" w:cs="Times New Roman"/>
          <w:sz w:val="32"/>
          <w:szCs w:val="32"/>
          <w:lang w:val="el-GR"/>
        </w:rPr>
        <w:t xml:space="preserve">Χαρακτηριστική για τη διαφορά προσέγγισης είναι η απόφαση του ΕΔΔΑ στην υπόθεση </w:t>
      </w:r>
      <w:r w:rsidRPr="00713FDE">
        <w:rPr>
          <w:rFonts w:ascii="Times New Roman" w:hAnsi="Times New Roman" w:cs="Times New Roman"/>
          <w:sz w:val="32"/>
          <w:szCs w:val="32"/>
          <w:u w:val="single"/>
        </w:rPr>
        <w:t>Panfile</w:t>
      </w:r>
      <w:r w:rsidRPr="00713FDE">
        <w:rPr>
          <w:rFonts w:ascii="Times New Roman" w:hAnsi="Times New Roman" w:cs="Times New Roman"/>
          <w:sz w:val="32"/>
          <w:szCs w:val="32"/>
          <w:u w:val="single"/>
          <w:lang w:val="el-GR"/>
        </w:rPr>
        <w:t xml:space="preserve"> </w:t>
      </w:r>
      <w:r w:rsidRPr="00713FDE">
        <w:rPr>
          <w:rFonts w:ascii="Times New Roman" w:hAnsi="Times New Roman" w:cs="Times New Roman"/>
          <w:sz w:val="32"/>
          <w:szCs w:val="32"/>
          <w:u w:val="single"/>
        </w:rPr>
        <w:t>v</w:t>
      </w:r>
      <w:r w:rsidRPr="00713FDE">
        <w:rPr>
          <w:rFonts w:ascii="Times New Roman" w:hAnsi="Times New Roman" w:cs="Times New Roman"/>
          <w:sz w:val="32"/>
          <w:szCs w:val="32"/>
          <w:u w:val="single"/>
          <w:lang w:val="el-GR"/>
        </w:rPr>
        <w:t xml:space="preserve">. </w:t>
      </w:r>
      <w:r w:rsidRPr="00713FDE">
        <w:rPr>
          <w:rFonts w:ascii="Times New Roman" w:hAnsi="Times New Roman" w:cs="Times New Roman"/>
          <w:sz w:val="32"/>
          <w:szCs w:val="32"/>
          <w:u w:val="single"/>
        </w:rPr>
        <w:t>Romania</w:t>
      </w:r>
      <w:r w:rsidRPr="007C2404">
        <w:rPr>
          <w:rFonts w:ascii="Times New Roman" w:hAnsi="Times New Roman" w:cs="Times New Roman"/>
          <w:sz w:val="32"/>
          <w:szCs w:val="32"/>
          <w:lang w:val="el-GR"/>
        </w:rPr>
        <w:t xml:space="preserve">, </w:t>
      </w:r>
      <w:r w:rsidRPr="007C2404">
        <w:rPr>
          <w:rFonts w:ascii="Times New Roman" w:hAnsi="Times New Roman" w:cs="Times New Roman"/>
          <w:sz w:val="32"/>
          <w:szCs w:val="32"/>
        </w:rPr>
        <w:t>Application</w:t>
      </w:r>
      <w:r w:rsidRPr="007C2404">
        <w:rPr>
          <w:rFonts w:ascii="Times New Roman" w:hAnsi="Times New Roman" w:cs="Times New Roman"/>
          <w:sz w:val="32"/>
          <w:szCs w:val="32"/>
          <w:lang w:val="el-GR"/>
        </w:rPr>
        <w:t xml:space="preserve"> </w:t>
      </w:r>
      <w:r w:rsidRPr="007C2404">
        <w:rPr>
          <w:rFonts w:ascii="Times New Roman" w:hAnsi="Times New Roman" w:cs="Times New Roman"/>
          <w:sz w:val="32"/>
          <w:szCs w:val="32"/>
        </w:rPr>
        <w:t>No</w:t>
      </w:r>
      <w:r w:rsidRPr="007C2404">
        <w:rPr>
          <w:rFonts w:ascii="Times New Roman" w:hAnsi="Times New Roman" w:cs="Times New Roman"/>
          <w:sz w:val="32"/>
          <w:szCs w:val="32"/>
          <w:lang w:val="el-GR"/>
        </w:rPr>
        <w:t>. 13902/11, 20.3.2012</w:t>
      </w:r>
      <w:r>
        <w:rPr>
          <w:rFonts w:ascii="Times New Roman" w:hAnsi="Times New Roman" w:cs="Times New Roman"/>
          <w:sz w:val="32"/>
          <w:szCs w:val="32"/>
          <w:lang w:val="el-GR"/>
        </w:rPr>
        <w:t>, η οποία αφορούσε σε παρόμοιο ζήτημα όπως η υπόθεση Κουτσελλ</w:t>
      </w:r>
      <w:r w:rsidR="00C21164">
        <w:rPr>
          <w:rFonts w:ascii="Times New Roman" w:hAnsi="Times New Roman" w:cs="Times New Roman"/>
          <w:sz w:val="32"/>
          <w:szCs w:val="32"/>
          <w:lang w:val="el-GR"/>
        </w:rPr>
        <w:t>ίνη, και η οποία όμως κρίθηκε με βάση την έννοια του νόμιμου και δημοκρατικά νομιμοποιημένου δημοσίου συμφέροντος του άρθρου 1 επί τη βάσει των αρχών της αναλογικότητας και της δίκαιης ισορροπίας η οποία ασφαλώς δεν συντρέχει όταν ένα πρόσωπο υφίσταται ατομικό και υπερβολικό βάρος.  Τέτοια εξισορρόπηση δεν φαίνεται να αναγνωρίστηκε ως επιτρεπτή από το Άρθρο 23.3 στην υπόθεση Κουτσελλίνη.</w:t>
      </w:r>
    </w:p>
    <w:p w:rsidR="00C21164" w:rsidRDefault="00C21164" w:rsidP="00D85EE9">
      <w:pPr>
        <w:spacing w:after="0" w:line="480" w:lineRule="auto"/>
        <w:jc w:val="both"/>
        <w:rPr>
          <w:rFonts w:ascii="Times New Roman" w:hAnsi="Times New Roman" w:cs="Times New Roman"/>
          <w:sz w:val="32"/>
          <w:szCs w:val="32"/>
          <w:lang w:val="el-GR"/>
        </w:rPr>
      </w:pPr>
    </w:p>
    <w:p w:rsidR="00485917" w:rsidRDefault="00485917" w:rsidP="00D85EE9">
      <w:pPr>
        <w:spacing w:after="0" w:line="480" w:lineRule="auto"/>
        <w:jc w:val="both"/>
        <w:rPr>
          <w:rFonts w:ascii="Times New Roman" w:hAnsi="Times New Roman" w:cs="Times New Roman"/>
          <w:sz w:val="32"/>
          <w:szCs w:val="32"/>
          <w:lang w:val="el-GR"/>
        </w:rPr>
      </w:pPr>
      <w:r>
        <w:rPr>
          <w:rFonts w:ascii="Times New Roman" w:hAnsi="Times New Roman" w:cs="Times New Roman"/>
          <w:sz w:val="32"/>
          <w:szCs w:val="32"/>
          <w:lang w:val="el-GR"/>
        </w:rPr>
        <w:t>Μετά τις εν λόγω αποφάσεις του Ανωτάτου Δικαστηρίου στις υποθέσεις Χαραλάμπους και Κουτσελλίνη ακολούθησαν αποφάσεις του Διοικητικού Δικαστηρίου</w:t>
      </w:r>
      <w:r w:rsidR="00713FDE">
        <w:rPr>
          <w:rFonts w:ascii="Times New Roman" w:hAnsi="Times New Roman" w:cs="Times New Roman"/>
          <w:sz w:val="32"/>
          <w:szCs w:val="32"/>
          <w:lang w:val="el-GR"/>
        </w:rPr>
        <w:t xml:space="preserve"> (πρωτοβάθμιο Δικαστήριο)</w:t>
      </w:r>
      <w:r>
        <w:rPr>
          <w:rFonts w:ascii="Times New Roman" w:hAnsi="Times New Roman" w:cs="Times New Roman"/>
          <w:sz w:val="32"/>
          <w:szCs w:val="32"/>
          <w:lang w:val="el-GR"/>
        </w:rPr>
        <w:t>.</w:t>
      </w:r>
    </w:p>
    <w:p w:rsidR="00485917" w:rsidRDefault="00485917" w:rsidP="00D85EE9">
      <w:pPr>
        <w:spacing w:after="0" w:line="480" w:lineRule="auto"/>
        <w:jc w:val="both"/>
        <w:rPr>
          <w:rFonts w:ascii="Times New Roman" w:hAnsi="Times New Roman" w:cs="Times New Roman"/>
          <w:sz w:val="32"/>
          <w:szCs w:val="32"/>
          <w:lang w:val="el-GR"/>
        </w:rPr>
      </w:pPr>
    </w:p>
    <w:p w:rsidR="00485917" w:rsidRDefault="00485917" w:rsidP="00D85EE9">
      <w:pPr>
        <w:spacing w:after="0" w:line="480" w:lineRule="auto"/>
        <w:jc w:val="both"/>
        <w:rPr>
          <w:rFonts w:ascii="Times New Roman" w:hAnsi="Times New Roman" w:cs="Times New Roman"/>
          <w:sz w:val="32"/>
          <w:szCs w:val="32"/>
          <w:lang w:val="el-GR"/>
        </w:rPr>
      </w:pPr>
      <w:r>
        <w:rPr>
          <w:rFonts w:ascii="Times New Roman" w:hAnsi="Times New Roman" w:cs="Times New Roman"/>
          <w:sz w:val="32"/>
          <w:szCs w:val="32"/>
          <w:lang w:val="el-GR"/>
        </w:rPr>
        <w:lastRenderedPageBreak/>
        <w:t xml:space="preserve">Η υπόθεση </w:t>
      </w:r>
      <w:r w:rsidRPr="00713FDE">
        <w:rPr>
          <w:rFonts w:ascii="Times New Roman" w:hAnsi="Times New Roman" w:cs="Times New Roman"/>
          <w:sz w:val="32"/>
          <w:szCs w:val="32"/>
          <w:u w:val="single"/>
          <w:lang w:val="el-GR"/>
        </w:rPr>
        <w:t>Αυξεντίου και άλλοι ν. Κυπριακής Δημοκρατίας</w:t>
      </w:r>
      <w:r w:rsidRPr="007C2404">
        <w:rPr>
          <w:rFonts w:ascii="Times New Roman" w:hAnsi="Times New Roman" w:cs="Times New Roman"/>
          <w:sz w:val="32"/>
          <w:szCs w:val="32"/>
          <w:lang w:val="el-GR"/>
        </w:rPr>
        <w:t>,</w:t>
      </w:r>
      <w:r w:rsidRPr="00713FDE">
        <w:rPr>
          <w:rFonts w:ascii="Times New Roman" w:hAnsi="Times New Roman" w:cs="Times New Roman"/>
          <w:sz w:val="32"/>
          <w:szCs w:val="32"/>
          <w:u w:val="single"/>
          <w:lang w:val="el-GR"/>
        </w:rPr>
        <w:t xml:space="preserve"> </w:t>
      </w:r>
      <w:r w:rsidRPr="007C2404">
        <w:rPr>
          <w:rFonts w:ascii="Times New Roman" w:hAnsi="Times New Roman" w:cs="Times New Roman"/>
          <w:sz w:val="32"/>
          <w:szCs w:val="32"/>
          <w:lang w:val="el-GR"/>
        </w:rPr>
        <w:t>Συνεκδικαζόμενες Υποθέσεις αρ. 7672/2013 κ.α., ημερομηνίας 15.11.2016</w:t>
      </w:r>
      <w:r>
        <w:rPr>
          <w:rFonts w:ascii="Times New Roman" w:hAnsi="Times New Roman" w:cs="Times New Roman"/>
          <w:sz w:val="32"/>
          <w:szCs w:val="32"/>
          <w:lang w:val="el-GR"/>
        </w:rPr>
        <w:t xml:space="preserve"> αφορούσε και πάλι στο ζήτημα των διπλών συντάξεων κρατικών αξιωματούχων.  Το Διοικητικό Δικαστήριο (Ολομέλεια) ακολούθησε δεσμευτικά την υπόθεση Κουτσελλίνη διευκρινίζοντας βασικά ότι το ερώτημα, υπό το φως του Άρθρου 23, δεν είναι το ουσιώδες ή μη του περιορισμού, αλλά το επιτρεπτό ή μη του περιορισμού με βάση τους επιτρεπόμενους από το Άρθρο 23.3 περιορισμούς.</w:t>
      </w:r>
    </w:p>
    <w:p w:rsidR="00DF2DEF" w:rsidRDefault="00DF2DEF" w:rsidP="00D85EE9">
      <w:pPr>
        <w:spacing w:after="0" w:line="480" w:lineRule="auto"/>
        <w:jc w:val="both"/>
        <w:rPr>
          <w:rFonts w:ascii="Times New Roman" w:hAnsi="Times New Roman" w:cs="Times New Roman"/>
          <w:sz w:val="32"/>
          <w:szCs w:val="32"/>
          <w:lang w:val="el-GR"/>
        </w:rPr>
      </w:pPr>
    </w:p>
    <w:p w:rsidR="00DF2DEF" w:rsidRDefault="00DF2DEF" w:rsidP="00D85EE9">
      <w:pPr>
        <w:spacing w:after="0" w:line="480" w:lineRule="auto"/>
        <w:jc w:val="both"/>
        <w:rPr>
          <w:rFonts w:ascii="Times New Roman" w:hAnsi="Times New Roman" w:cs="Times New Roman"/>
          <w:sz w:val="32"/>
          <w:szCs w:val="32"/>
          <w:lang w:val="el-GR"/>
        </w:rPr>
      </w:pPr>
      <w:r>
        <w:rPr>
          <w:rFonts w:ascii="Times New Roman" w:hAnsi="Times New Roman" w:cs="Times New Roman"/>
          <w:sz w:val="32"/>
          <w:szCs w:val="32"/>
          <w:lang w:val="el-GR"/>
        </w:rPr>
        <w:t>Ίδια ήταν η προσέγγιση του Διοικητικού Δικαστηρίου, υπό μονομελή σύνθεση σε προσφυγές συνταξιούχων δημοσίων υπαλλήλων για τη μείωση των συντάξεων τους (</w:t>
      </w:r>
      <w:r w:rsidRPr="00713FDE">
        <w:rPr>
          <w:rFonts w:ascii="Times New Roman" w:hAnsi="Times New Roman" w:cs="Times New Roman"/>
          <w:sz w:val="32"/>
          <w:szCs w:val="32"/>
          <w:u w:val="single"/>
          <w:lang w:val="el-GR"/>
        </w:rPr>
        <w:t>Αυγουστή και άλλοι ν. Κυπριακής Δημοκρατίας</w:t>
      </w:r>
      <w:r w:rsidRPr="007C2404">
        <w:rPr>
          <w:rFonts w:ascii="Times New Roman" w:hAnsi="Times New Roman" w:cs="Times New Roman"/>
          <w:sz w:val="32"/>
          <w:szCs w:val="32"/>
          <w:lang w:val="el-GR"/>
        </w:rPr>
        <w:t>, Συνεκδικαζόμενες Υποθέσεις 898/2013 κ.α., ημερομηνίας 27.11.2018</w:t>
      </w:r>
      <w:r>
        <w:rPr>
          <w:rFonts w:ascii="Times New Roman" w:hAnsi="Times New Roman" w:cs="Times New Roman"/>
          <w:sz w:val="32"/>
          <w:szCs w:val="32"/>
          <w:lang w:val="el-GR"/>
        </w:rPr>
        <w:t xml:space="preserve">).  Στην υπόθεση εκείνη εξετάστηκε ο συσχετισμός του άρθρου 1 του Πρώτου Πρωτοκόλλου με το Άρθρο 23 με αναφορά στο επίπεδο προστασίας που έκαστο παρέχει </w:t>
      </w:r>
      <w:r w:rsidR="00713FDE">
        <w:rPr>
          <w:rFonts w:ascii="Times New Roman" w:hAnsi="Times New Roman" w:cs="Times New Roman"/>
          <w:sz w:val="32"/>
          <w:szCs w:val="32"/>
          <w:lang w:val="el-GR"/>
        </w:rPr>
        <w:t xml:space="preserve">και </w:t>
      </w:r>
      <w:r>
        <w:rPr>
          <w:rFonts w:ascii="Times New Roman" w:hAnsi="Times New Roman" w:cs="Times New Roman"/>
          <w:sz w:val="32"/>
          <w:szCs w:val="32"/>
          <w:lang w:val="el-GR"/>
        </w:rPr>
        <w:t xml:space="preserve">υποδείχθηκε ότι σύμφωνα με το άρθρο 53 της ΕΣΔΑ </w:t>
      </w:r>
      <w:r>
        <w:rPr>
          <w:rFonts w:ascii="Times New Roman" w:hAnsi="Times New Roman" w:cs="Times New Roman"/>
          <w:sz w:val="32"/>
          <w:szCs w:val="32"/>
          <w:lang w:val="el-GR"/>
        </w:rPr>
        <w:lastRenderedPageBreak/>
        <w:t>και το άρθρο 53 του Χάρτη Θεμελιωδών Δικαιωμάτων της Ευρωπαϊκής Ένωσης, δεν είναι νοητή η επίκληση δικαιώματος ή ελευθερίας της ΕΣΔΑ</w:t>
      </w:r>
      <w:r w:rsidR="00713FDE">
        <w:rPr>
          <w:rFonts w:ascii="Times New Roman" w:hAnsi="Times New Roman" w:cs="Times New Roman"/>
          <w:sz w:val="32"/>
          <w:szCs w:val="32"/>
          <w:lang w:val="el-GR"/>
        </w:rPr>
        <w:t xml:space="preserve"> </w:t>
      </w:r>
      <w:r>
        <w:rPr>
          <w:rFonts w:ascii="Times New Roman" w:hAnsi="Times New Roman" w:cs="Times New Roman"/>
          <w:sz w:val="32"/>
          <w:szCs w:val="32"/>
          <w:lang w:val="el-GR"/>
        </w:rPr>
        <w:t>για να περιοριστεί ή να αναιρεθεί θεμελιώδες δικαίωμα που ήδη αναγνωρίζεται από την εθνική νομοθεσία.</w:t>
      </w:r>
    </w:p>
    <w:p w:rsidR="00CB3ADC" w:rsidRDefault="00CB3ADC" w:rsidP="00D85EE9">
      <w:pPr>
        <w:spacing w:after="0" w:line="480" w:lineRule="auto"/>
        <w:jc w:val="both"/>
        <w:rPr>
          <w:rFonts w:ascii="Times New Roman" w:hAnsi="Times New Roman" w:cs="Times New Roman"/>
          <w:sz w:val="32"/>
          <w:szCs w:val="32"/>
          <w:lang w:val="el-GR"/>
        </w:rPr>
      </w:pPr>
    </w:p>
    <w:p w:rsidR="00CB3ADC" w:rsidRDefault="00CB3ADC" w:rsidP="00D85EE9">
      <w:pPr>
        <w:spacing w:after="0" w:line="480" w:lineRule="auto"/>
        <w:jc w:val="both"/>
        <w:rPr>
          <w:rFonts w:ascii="Times New Roman" w:hAnsi="Times New Roman" w:cs="Times New Roman"/>
          <w:sz w:val="32"/>
          <w:szCs w:val="32"/>
          <w:lang w:val="el-GR"/>
        </w:rPr>
      </w:pPr>
      <w:r>
        <w:rPr>
          <w:rFonts w:ascii="Times New Roman" w:hAnsi="Times New Roman" w:cs="Times New Roman"/>
          <w:sz w:val="32"/>
          <w:szCs w:val="32"/>
          <w:lang w:val="el-GR"/>
        </w:rPr>
        <w:t xml:space="preserve">Σε ότι αφορά τις αποκοπές ή μειώσεις μισθών, ό,τι καθόρισε τη μετέπειτα κατεύθυνση στην προσέγγιση του Διοικητικού Δικαστηρίου ήταν η θεώρηση </w:t>
      </w:r>
      <w:r w:rsidR="006848BF">
        <w:rPr>
          <w:rFonts w:ascii="Times New Roman" w:hAnsi="Times New Roman" w:cs="Times New Roman"/>
          <w:sz w:val="32"/>
          <w:szCs w:val="32"/>
          <w:lang w:val="el-GR"/>
        </w:rPr>
        <w:t>στην υπόθεση</w:t>
      </w:r>
      <w:r>
        <w:rPr>
          <w:rFonts w:ascii="Times New Roman" w:hAnsi="Times New Roman" w:cs="Times New Roman"/>
          <w:sz w:val="32"/>
          <w:szCs w:val="32"/>
          <w:lang w:val="el-GR"/>
        </w:rPr>
        <w:t xml:space="preserve"> </w:t>
      </w:r>
      <w:r w:rsidRPr="00A25F1A">
        <w:rPr>
          <w:rFonts w:ascii="Times New Roman" w:hAnsi="Times New Roman" w:cs="Times New Roman"/>
          <w:sz w:val="32"/>
          <w:szCs w:val="32"/>
          <w:lang w:val="el-GR"/>
        </w:rPr>
        <w:t>Χαραλάμπους</w:t>
      </w:r>
      <w:r>
        <w:rPr>
          <w:rFonts w:ascii="Times New Roman" w:hAnsi="Times New Roman" w:cs="Times New Roman"/>
          <w:sz w:val="32"/>
          <w:szCs w:val="32"/>
          <w:lang w:val="el-GR"/>
        </w:rPr>
        <w:t xml:space="preserve"> του </w:t>
      </w:r>
      <w:r w:rsidR="00DF2DEF">
        <w:rPr>
          <w:rFonts w:ascii="Times New Roman" w:hAnsi="Times New Roman" w:cs="Times New Roman"/>
          <w:sz w:val="32"/>
          <w:szCs w:val="32"/>
          <w:lang w:val="el-GR"/>
        </w:rPr>
        <w:t xml:space="preserve">μελλοντικού </w:t>
      </w:r>
      <w:r>
        <w:rPr>
          <w:rFonts w:ascii="Times New Roman" w:hAnsi="Times New Roman" w:cs="Times New Roman"/>
          <w:sz w:val="32"/>
          <w:szCs w:val="32"/>
          <w:lang w:val="el-GR"/>
        </w:rPr>
        <w:t>μισθού ως αγαθού προστατευόμενου από το Άρθρο 23.</w:t>
      </w:r>
    </w:p>
    <w:p w:rsidR="00CB3ADC" w:rsidRDefault="00CB3ADC" w:rsidP="00D85EE9">
      <w:pPr>
        <w:spacing w:after="0" w:line="480" w:lineRule="auto"/>
        <w:jc w:val="both"/>
        <w:rPr>
          <w:rFonts w:ascii="Times New Roman" w:hAnsi="Times New Roman" w:cs="Times New Roman"/>
          <w:sz w:val="32"/>
          <w:szCs w:val="32"/>
          <w:lang w:val="el-GR"/>
        </w:rPr>
      </w:pPr>
    </w:p>
    <w:p w:rsidR="00CB3ADC" w:rsidRDefault="00CB3ADC" w:rsidP="00D85EE9">
      <w:pPr>
        <w:spacing w:after="0" w:line="480" w:lineRule="auto"/>
        <w:jc w:val="both"/>
        <w:rPr>
          <w:rFonts w:ascii="Times New Roman" w:hAnsi="Times New Roman" w:cs="Times New Roman"/>
          <w:sz w:val="32"/>
          <w:szCs w:val="32"/>
          <w:lang w:val="el-GR"/>
        </w:rPr>
      </w:pPr>
      <w:r>
        <w:rPr>
          <w:rFonts w:ascii="Times New Roman" w:hAnsi="Times New Roman" w:cs="Times New Roman"/>
          <w:sz w:val="32"/>
          <w:szCs w:val="32"/>
          <w:lang w:val="el-GR"/>
        </w:rPr>
        <w:t>Με τούτο ως δεδομένο,</w:t>
      </w:r>
      <w:r w:rsidR="00DF2DEF">
        <w:rPr>
          <w:rFonts w:ascii="Times New Roman" w:hAnsi="Times New Roman" w:cs="Times New Roman"/>
          <w:sz w:val="32"/>
          <w:szCs w:val="32"/>
          <w:lang w:val="el-GR"/>
        </w:rPr>
        <w:t xml:space="preserve"> στην απόφαση του Διοικητικού Δικαστηρίου (Ολομέλεια) </w:t>
      </w:r>
      <w:r w:rsidR="00DF2DEF" w:rsidRPr="00713FDE">
        <w:rPr>
          <w:rFonts w:ascii="Times New Roman" w:hAnsi="Times New Roman" w:cs="Times New Roman"/>
          <w:sz w:val="32"/>
          <w:szCs w:val="32"/>
          <w:u w:val="single"/>
          <w:lang w:val="el-GR"/>
        </w:rPr>
        <w:t>Χατζηπαναγιώτη και άλλοι ν. Πανεπιστήμιο Κύπρου</w:t>
      </w:r>
      <w:r w:rsidR="00DF2DEF" w:rsidRPr="007C2404">
        <w:rPr>
          <w:rFonts w:ascii="Times New Roman" w:hAnsi="Times New Roman" w:cs="Times New Roman"/>
          <w:sz w:val="32"/>
          <w:szCs w:val="32"/>
          <w:lang w:val="el-GR"/>
        </w:rPr>
        <w:t>, Υπόθεση Αρ. 6182/2013, ημερομηνίας 28.12.2018</w:t>
      </w:r>
      <w:r w:rsidR="00DF2DEF">
        <w:rPr>
          <w:rFonts w:ascii="Times New Roman" w:hAnsi="Times New Roman" w:cs="Times New Roman"/>
          <w:sz w:val="32"/>
          <w:szCs w:val="32"/>
          <w:lang w:val="el-GR"/>
        </w:rPr>
        <w:t>, η οποία αφορούσε σε τερματισμό καταβολής ειδικού επιδόματος προς καθηγητές του Πανεπιστημίου Κύπρου ύψους 12% επί των απολαβών τους,</w:t>
      </w:r>
      <w:r>
        <w:rPr>
          <w:rFonts w:ascii="Times New Roman" w:hAnsi="Times New Roman" w:cs="Times New Roman"/>
          <w:sz w:val="32"/>
          <w:szCs w:val="32"/>
          <w:lang w:val="el-GR"/>
        </w:rPr>
        <w:t xml:space="preserve"> κρίθηκε ότι διαφοροποιούσε την κατάσταση από τις περιορισμένες και επί έκτακτης βάσης αποκοπές που ήταν το στοιχείο το οποίο καθόρισε τα πράγματα στη </w:t>
      </w:r>
      <w:r>
        <w:rPr>
          <w:rFonts w:ascii="Times New Roman" w:hAnsi="Times New Roman" w:cs="Times New Roman"/>
          <w:sz w:val="32"/>
          <w:szCs w:val="32"/>
          <w:lang w:val="el-GR"/>
        </w:rPr>
        <w:lastRenderedPageBreak/>
        <w:t xml:space="preserve">Χαραλάμπους.  Οπότε, εφαρμοζομένων των «κριτηρίων» του Άρθρου 23.3, κρίθηκε πως η </w:t>
      </w:r>
      <w:r w:rsidR="006848BF">
        <w:rPr>
          <w:rFonts w:ascii="Times New Roman" w:hAnsi="Times New Roman" w:cs="Times New Roman"/>
          <w:sz w:val="32"/>
          <w:szCs w:val="32"/>
          <w:lang w:val="el-GR"/>
        </w:rPr>
        <w:t>μείωση</w:t>
      </w:r>
      <w:r>
        <w:rPr>
          <w:rFonts w:ascii="Times New Roman" w:hAnsi="Times New Roman" w:cs="Times New Roman"/>
          <w:sz w:val="32"/>
          <w:szCs w:val="32"/>
          <w:lang w:val="el-GR"/>
        </w:rPr>
        <w:t xml:space="preserve"> μισθών (επιδομάτων) για λόγο άλλο από τους καθοριζόμενους στο 23.3 καθιστούσε το μέτρο αντισυνταγματικό, χωρίς δυνατότητα διάσωσής του στη βάση του «δημοσίου συμφέροντος» του άρθρου 1 του πρώτου Πρωτοκόλλου.  </w:t>
      </w:r>
    </w:p>
    <w:p w:rsidR="00DF2DEF" w:rsidRDefault="00DF2DEF" w:rsidP="00D85EE9">
      <w:pPr>
        <w:spacing w:after="0" w:line="480" w:lineRule="auto"/>
        <w:jc w:val="both"/>
        <w:rPr>
          <w:rFonts w:ascii="Times New Roman" w:hAnsi="Times New Roman" w:cs="Times New Roman"/>
          <w:sz w:val="32"/>
          <w:szCs w:val="32"/>
          <w:lang w:val="el-GR"/>
        </w:rPr>
      </w:pPr>
    </w:p>
    <w:p w:rsidR="00713FDE" w:rsidRDefault="00DF2DEF" w:rsidP="00D85EE9">
      <w:pPr>
        <w:spacing w:after="0" w:line="480" w:lineRule="auto"/>
        <w:jc w:val="both"/>
        <w:rPr>
          <w:rFonts w:ascii="Times New Roman" w:hAnsi="Times New Roman" w:cs="Times New Roman"/>
          <w:sz w:val="32"/>
          <w:szCs w:val="32"/>
          <w:lang w:val="el-GR"/>
        </w:rPr>
      </w:pPr>
      <w:r>
        <w:rPr>
          <w:rFonts w:ascii="Times New Roman" w:hAnsi="Times New Roman" w:cs="Times New Roman"/>
          <w:sz w:val="32"/>
          <w:szCs w:val="32"/>
          <w:lang w:val="el-GR"/>
        </w:rPr>
        <w:t>Το Διοικητικό Δικαστήριο είχε την ευκαιρία να εξετάσει παρόμοιο ζήτημα μείωσης επιδομάτων υπό το πρίσμα</w:t>
      </w:r>
      <w:r w:rsidR="00A25F1A">
        <w:rPr>
          <w:rFonts w:ascii="Times New Roman" w:hAnsi="Times New Roman" w:cs="Times New Roman"/>
          <w:sz w:val="32"/>
          <w:szCs w:val="32"/>
          <w:lang w:val="el-GR"/>
        </w:rPr>
        <w:t>,</w:t>
      </w:r>
      <w:r>
        <w:rPr>
          <w:rFonts w:ascii="Times New Roman" w:hAnsi="Times New Roman" w:cs="Times New Roman"/>
          <w:sz w:val="32"/>
          <w:szCs w:val="32"/>
          <w:lang w:val="el-GR"/>
        </w:rPr>
        <w:t xml:space="preserve"> </w:t>
      </w:r>
      <w:r w:rsidR="00A25F1A">
        <w:rPr>
          <w:rFonts w:ascii="Times New Roman" w:hAnsi="Times New Roman" w:cs="Times New Roman"/>
          <w:sz w:val="32"/>
          <w:szCs w:val="32"/>
          <w:lang w:val="el-GR"/>
        </w:rPr>
        <w:t>όμως,</w:t>
      </w:r>
      <w:r>
        <w:rPr>
          <w:rFonts w:ascii="Times New Roman" w:hAnsi="Times New Roman" w:cs="Times New Roman"/>
          <w:sz w:val="32"/>
          <w:szCs w:val="32"/>
          <w:lang w:val="el-GR"/>
        </w:rPr>
        <w:t xml:space="preserve"> του άρθρου 1 σε </w:t>
      </w:r>
      <w:r w:rsidR="00A25F1A">
        <w:rPr>
          <w:rFonts w:ascii="Times New Roman" w:hAnsi="Times New Roman" w:cs="Times New Roman"/>
          <w:sz w:val="32"/>
          <w:szCs w:val="32"/>
          <w:lang w:val="el-GR"/>
        </w:rPr>
        <w:t>υπόθεση</w:t>
      </w:r>
      <w:r>
        <w:rPr>
          <w:rFonts w:ascii="Times New Roman" w:hAnsi="Times New Roman" w:cs="Times New Roman"/>
          <w:sz w:val="32"/>
          <w:szCs w:val="32"/>
          <w:lang w:val="el-GR"/>
        </w:rPr>
        <w:t xml:space="preserve"> όπου, λόγω ανεπαρκούς δικογράφησης, δεν είχε εγκύρως τεθεί προς εξέταση το Άρθρο 23 (</w:t>
      </w:r>
      <w:r w:rsidRPr="00713FDE">
        <w:rPr>
          <w:rFonts w:ascii="Times New Roman" w:hAnsi="Times New Roman" w:cs="Times New Roman"/>
          <w:sz w:val="32"/>
          <w:szCs w:val="32"/>
          <w:u w:val="single"/>
          <w:lang w:val="el-GR"/>
        </w:rPr>
        <w:t>Χριστοδουλίδου και άλλοι ν. Κυπριακής Δημοκρατίας</w:t>
      </w:r>
      <w:r w:rsidRPr="007C2404">
        <w:rPr>
          <w:rFonts w:ascii="Times New Roman" w:hAnsi="Times New Roman" w:cs="Times New Roman"/>
          <w:sz w:val="32"/>
          <w:szCs w:val="32"/>
          <w:lang w:val="el-GR"/>
        </w:rPr>
        <w:t>, Συνεκδικαζόμενες Υποθέσεις 441/2014 κ.α., ημερομηνίας 12.11.2018</w:t>
      </w:r>
      <w:r>
        <w:rPr>
          <w:rFonts w:ascii="Times New Roman" w:hAnsi="Times New Roman" w:cs="Times New Roman"/>
          <w:sz w:val="32"/>
          <w:szCs w:val="32"/>
          <w:lang w:val="el-GR"/>
        </w:rPr>
        <w:t>, απόφαση Ολομέλειας).</w:t>
      </w:r>
      <w:r w:rsidR="005E2169">
        <w:rPr>
          <w:rFonts w:ascii="Times New Roman" w:hAnsi="Times New Roman" w:cs="Times New Roman"/>
          <w:sz w:val="32"/>
          <w:szCs w:val="32"/>
          <w:lang w:val="el-GR"/>
        </w:rPr>
        <w:t xml:space="preserve">  Πρόκειται για υποθέσεις που αφορούσαν μειώσεις επιδομάτων βάρδιας και υπερωριακών αποζημιώσεων κρατικών υπαλλήλων.  </w:t>
      </w:r>
      <w:r w:rsidR="0071246C">
        <w:rPr>
          <w:rFonts w:ascii="Times New Roman" w:hAnsi="Times New Roman" w:cs="Times New Roman"/>
          <w:sz w:val="32"/>
          <w:szCs w:val="32"/>
          <w:lang w:val="el-GR"/>
        </w:rPr>
        <w:t>Χ</w:t>
      </w:r>
      <w:r w:rsidR="005E2169">
        <w:rPr>
          <w:rFonts w:ascii="Times New Roman" w:hAnsi="Times New Roman" w:cs="Times New Roman"/>
          <w:sz w:val="32"/>
          <w:szCs w:val="32"/>
          <w:lang w:val="el-GR"/>
        </w:rPr>
        <w:t>ωρίς τους περιορισμούς του Άρθρου 23, το Δικαστήριο αναφέρθηκε στην υπόθεση</w:t>
      </w:r>
      <w:r w:rsidR="005E2169" w:rsidRPr="00713FDE">
        <w:rPr>
          <w:rFonts w:ascii="Times New Roman" w:hAnsi="Times New Roman" w:cs="Times New Roman"/>
          <w:sz w:val="32"/>
          <w:szCs w:val="32"/>
          <w:lang w:val="el-GR"/>
        </w:rPr>
        <w:t xml:space="preserve"> </w:t>
      </w:r>
      <w:r w:rsidR="00713FDE" w:rsidRPr="00713FDE">
        <w:rPr>
          <w:rFonts w:ascii="Times New Roman" w:hAnsi="Times New Roman" w:cs="Times New Roman"/>
          <w:bCs/>
          <w:iCs/>
          <w:color w:val="000000"/>
          <w:sz w:val="32"/>
          <w:szCs w:val="32"/>
          <w:u w:val="single"/>
        </w:rPr>
        <w:t>Koufakis</w:t>
      </w:r>
      <w:r w:rsidR="00713FDE" w:rsidRPr="00713FDE">
        <w:rPr>
          <w:rFonts w:ascii="Times New Roman" w:hAnsi="Times New Roman" w:cs="Times New Roman"/>
          <w:bCs/>
          <w:iCs/>
          <w:color w:val="000000"/>
          <w:sz w:val="32"/>
          <w:szCs w:val="32"/>
          <w:u w:val="single"/>
          <w:lang w:val="el-GR"/>
        </w:rPr>
        <w:t xml:space="preserve"> </w:t>
      </w:r>
      <w:r w:rsidR="00713FDE" w:rsidRPr="00713FDE">
        <w:rPr>
          <w:rFonts w:ascii="Times New Roman" w:hAnsi="Times New Roman" w:cs="Times New Roman"/>
          <w:bCs/>
          <w:iCs/>
          <w:color w:val="000000"/>
          <w:sz w:val="32"/>
          <w:szCs w:val="32"/>
          <w:u w:val="single"/>
        </w:rPr>
        <w:t>v</w:t>
      </w:r>
      <w:r w:rsidR="00713FDE" w:rsidRPr="00713FDE">
        <w:rPr>
          <w:rFonts w:ascii="Times New Roman" w:hAnsi="Times New Roman" w:cs="Times New Roman"/>
          <w:bCs/>
          <w:iCs/>
          <w:color w:val="000000"/>
          <w:sz w:val="32"/>
          <w:szCs w:val="32"/>
          <w:u w:val="single"/>
          <w:lang w:val="el-GR"/>
        </w:rPr>
        <w:t xml:space="preserve">. </w:t>
      </w:r>
      <w:r w:rsidR="00713FDE" w:rsidRPr="00713FDE">
        <w:rPr>
          <w:rFonts w:ascii="Times New Roman" w:hAnsi="Times New Roman" w:cs="Times New Roman"/>
          <w:bCs/>
          <w:iCs/>
          <w:color w:val="000000"/>
          <w:sz w:val="32"/>
          <w:szCs w:val="32"/>
          <w:u w:val="single"/>
        </w:rPr>
        <w:t>Greece</w:t>
      </w:r>
      <w:r w:rsidR="00713FDE" w:rsidRPr="007C2404">
        <w:rPr>
          <w:rFonts w:ascii="Times New Roman" w:hAnsi="Times New Roman" w:cs="Times New Roman"/>
          <w:bCs/>
          <w:iCs/>
          <w:color w:val="000000"/>
          <w:sz w:val="32"/>
          <w:szCs w:val="32"/>
          <w:lang w:val="el-GR"/>
        </w:rPr>
        <w:t>, Α</w:t>
      </w:r>
      <w:r w:rsidR="00713FDE" w:rsidRPr="007C2404">
        <w:rPr>
          <w:rFonts w:ascii="Times New Roman" w:hAnsi="Times New Roman" w:cs="Times New Roman"/>
          <w:bCs/>
          <w:iCs/>
          <w:color w:val="000000"/>
          <w:sz w:val="32"/>
          <w:szCs w:val="32"/>
        </w:rPr>
        <w:t>ppl</w:t>
      </w:r>
      <w:r w:rsidR="00713FDE" w:rsidRPr="007C2404">
        <w:rPr>
          <w:rFonts w:ascii="Times New Roman" w:hAnsi="Times New Roman" w:cs="Times New Roman"/>
          <w:bCs/>
          <w:iCs/>
          <w:color w:val="000000"/>
          <w:sz w:val="32"/>
          <w:szCs w:val="32"/>
          <w:lang w:val="el-GR"/>
        </w:rPr>
        <w:t>. Νο. 57665/12 και 57657/12</w:t>
      </w:r>
      <w:r w:rsidR="00713FDE" w:rsidRPr="007C2404">
        <w:rPr>
          <w:rFonts w:ascii="Times New Roman" w:eastAsia="Times New Roman" w:hAnsi="Times New Roman" w:cs="Times New Roman"/>
          <w:color w:val="444444"/>
          <w:kern w:val="36"/>
          <w:sz w:val="32"/>
          <w:szCs w:val="32"/>
          <w:lang w:val="el-GR" w:eastAsia="en-GB"/>
        </w:rPr>
        <w:t>,  ημερ. 07/05/2013</w:t>
      </w:r>
      <w:r w:rsidR="00713FDE">
        <w:rPr>
          <w:rFonts w:ascii="Times New Roman" w:eastAsia="Times New Roman" w:hAnsi="Times New Roman" w:cs="Times New Roman"/>
          <w:color w:val="444444"/>
          <w:kern w:val="36"/>
          <w:sz w:val="32"/>
          <w:szCs w:val="32"/>
          <w:lang w:val="el-GR" w:eastAsia="en-GB"/>
        </w:rPr>
        <w:t>,</w:t>
      </w:r>
      <w:r w:rsidR="005E2169">
        <w:rPr>
          <w:rFonts w:ascii="Times New Roman" w:hAnsi="Times New Roman" w:cs="Times New Roman"/>
          <w:sz w:val="32"/>
          <w:szCs w:val="32"/>
          <w:lang w:val="el-GR"/>
        </w:rPr>
        <w:t xml:space="preserve"> όπου αποφασίστηκε ότι η κατάργηση των επιδομάτων Χριστουγέννων, Πάσχα και Αδείας, καθώς και η </w:t>
      </w:r>
      <w:r w:rsidR="005E2169">
        <w:rPr>
          <w:rFonts w:ascii="Times New Roman" w:hAnsi="Times New Roman" w:cs="Times New Roman"/>
          <w:sz w:val="32"/>
          <w:szCs w:val="32"/>
          <w:lang w:val="el-GR"/>
        </w:rPr>
        <w:lastRenderedPageBreak/>
        <w:t>μείωση του ειδικού επιδόματος κατά 20% δεν αποτελούσαν στέρηση της περιουσίας, αλλά νόμιμο και δικαιολογημένο περιορισμό, εφόσον αποσκοπούσε σ</w:t>
      </w:r>
      <w:r w:rsidR="0071246C">
        <w:rPr>
          <w:rFonts w:ascii="Times New Roman" w:hAnsi="Times New Roman" w:cs="Times New Roman"/>
          <w:sz w:val="32"/>
          <w:szCs w:val="32"/>
          <w:lang w:val="el-GR"/>
        </w:rPr>
        <w:t>ε</w:t>
      </w:r>
      <w:r w:rsidR="005E2169">
        <w:rPr>
          <w:rFonts w:ascii="Times New Roman" w:hAnsi="Times New Roman" w:cs="Times New Roman"/>
          <w:sz w:val="32"/>
          <w:szCs w:val="32"/>
          <w:lang w:val="el-GR"/>
        </w:rPr>
        <w:t xml:space="preserve"> θεμιτό σκοπό δημόσιας ωφέλειας, ήτοι στη δημοσιονομική εξυγίανση.  </w:t>
      </w:r>
    </w:p>
    <w:p w:rsidR="00713FDE" w:rsidRDefault="00713FDE" w:rsidP="00D85EE9">
      <w:pPr>
        <w:spacing w:after="0" w:line="480" w:lineRule="auto"/>
        <w:jc w:val="both"/>
        <w:rPr>
          <w:rFonts w:ascii="Times New Roman" w:hAnsi="Times New Roman" w:cs="Times New Roman"/>
          <w:sz w:val="32"/>
          <w:szCs w:val="32"/>
          <w:lang w:val="el-GR"/>
        </w:rPr>
      </w:pPr>
    </w:p>
    <w:p w:rsidR="005E2169" w:rsidRDefault="005E2169" w:rsidP="00D85EE9">
      <w:pPr>
        <w:spacing w:after="0" w:line="480" w:lineRule="auto"/>
        <w:jc w:val="both"/>
        <w:rPr>
          <w:rFonts w:ascii="Times New Roman" w:hAnsi="Times New Roman" w:cs="Times New Roman"/>
          <w:sz w:val="32"/>
          <w:szCs w:val="32"/>
          <w:lang w:val="el-GR"/>
        </w:rPr>
      </w:pPr>
      <w:r>
        <w:rPr>
          <w:rFonts w:ascii="Times New Roman" w:hAnsi="Times New Roman" w:cs="Times New Roman"/>
          <w:sz w:val="32"/>
          <w:szCs w:val="32"/>
          <w:lang w:val="el-GR"/>
        </w:rPr>
        <w:t>Η υπόθεση εξετάστηκε υπό το φως της αρχής της αναλογικότητας και της δίκαιης ισορροπίας μεταξύ των απαιτήσεων του γενικού συμφέροντος αφενός και αφετέρου της επιτακτικής ανάγκης για προστασία των θεμελιωδών δικαιωμάτων του ατόμου.  Λήφθηκε υπόψιν η μεγάλη δημοσιονομική κρίση και η υποχρέωση συμμόρφωσης με το μνημόνιο, η ανάγκη για εξοικονομήσεις, ισοσκελισμένο προϋπολογισμό και ε</w:t>
      </w:r>
      <w:r w:rsidR="00713FDE">
        <w:rPr>
          <w:rFonts w:ascii="Times New Roman" w:hAnsi="Times New Roman" w:cs="Times New Roman"/>
          <w:sz w:val="32"/>
          <w:szCs w:val="32"/>
          <w:lang w:val="el-GR"/>
        </w:rPr>
        <w:t>κσ</w:t>
      </w:r>
      <w:r>
        <w:rPr>
          <w:rFonts w:ascii="Times New Roman" w:hAnsi="Times New Roman" w:cs="Times New Roman"/>
          <w:sz w:val="32"/>
          <w:szCs w:val="32"/>
          <w:lang w:val="el-GR"/>
        </w:rPr>
        <w:t>υ</w:t>
      </w:r>
      <w:r w:rsidR="00713FDE">
        <w:rPr>
          <w:rFonts w:ascii="Times New Roman" w:hAnsi="Times New Roman" w:cs="Times New Roman"/>
          <w:sz w:val="32"/>
          <w:szCs w:val="32"/>
          <w:lang w:val="el-GR"/>
        </w:rPr>
        <w:t>γ</w:t>
      </w:r>
      <w:r>
        <w:rPr>
          <w:rFonts w:ascii="Times New Roman" w:hAnsi="Times New Roman" w:cs="Times New Roman"/>
          <w:sz w:val="32"/>
          <w:szCs w:val="32"/>
          <w:lang w:val="el-GR"/>
        </w:rPr>
        <w:t>χρονισμό των επιδομάτων των δημοσίων υπαλλήλων, το γεγονός ότι είχαν ληφθεί πληθώρα άλλων μέτρων περικοπών, ότι λήφθηκαν φορολογικά μέτρα και ότι επιδιώχθηκε καλύτερη στόχευση κοινωνικών παροχών βάσει εισοδηματικών κριτηρίων.</w:t>
      </w:r>
      <w:r w:rsidR="0071246C">
        <w:rPr>
          <w:rFonts w:ascii="Times New Roman" w:hAnsi="Times New Roman" w:cs="Times New Roman"/>
          <w:sz w:val="32"/>
          <w:szCs w:val="32"/>
          <w:lang w:val="el-GR"/>
        </w:rPr>
        <w:t xml:space="preserve">  </w:t>
      </w:r>
      <w:r>
        <w:rPr>
          <w:rFonts w:ascii="Times New Roman" w:hAnsi="Times New Roman" w:cs="Times New Roman"/>
          <w:sz w:val="32"/>
          <w:szCs w:val="32"/>
          <w:lang w:val="el-GR"/>
        </w:rPr>
        <w:t xml:space="preserve">Κατέληξε το Δικαστήριο ότι οι αιτητές δεν στοιχειοθέτησαν, όπως είχαν το βάρος, παραβίαση του άρθρου 1 και ότι τηρήθηκε η αρχή της αναλογικότητας και της δίκαιης </w:t>
      </w:r>
      <w:r>
        <w:rPr>
          <w:rFonts w:ascii="Times New Roman" w:hAnsi="Times New Roman" w:cs="Times New Roman"/>
          <w:sz w:val="32"/>
          <w:szCs w:val="32"/>
          <w:lang w:val="el-GR"/>
        </w:rPr>
        <w:lastRenderedPageBreak/>
        <w:t>ισορροπίας ενόψει της κρίσιμης οικονομικής πραγματικότητας και της επιτακτικής και πιεστικής ανάγκης για εξυγίανση των δημοσίων οικονομικών και περιστολή των κρατικών δαπανών.</w:t>
      </w:r>
    </w:p>
    <w:p w:rsidR="005E2169" w:rsidRDefault="005E2169" w:rsidP="00D85EE9">
      <w:pPr>
        <w:spacing w:after="0" w:line="480" w:lineRule="auto"/>
        <w:jc w:val="both"/>
        <w:rPr>
          <w:rFonts w:ascii="Times New Roman" w:hAnsi="Times New Roman" w:cs="Times New Roman"/>
          <w:sz w:val="32"/>
          <w:szCs w:val="32"/>
          <w:lang w:val="el-GR"/>
        </w:rPr>
      </w:pPr>
    </w:p>
    <w:p w:rsidR="005E2169" w:rsidRPr="00A12619" w:rsidRDefault="005E2169" w:rsidP="00D85EE9">
      <w:pPr>
        <w:spacing w:after="0" w:line="480" w:lineRule="auto"/>
        <w:jc w:val="both"/>
        <w:rPr>
          <w:rFonts w:ascii="Times New Roman" w:hAnsi="Times New Roman" w:cs="Times New Roman"/>
          <w:sz w:val="32"/>
          <w:szCs w:val="32"/>
          <w:lang w:val="el-GR"/>
        </w:rPr>
      </w:pPr>
      <w:r>
        <w:rPr>
          <w:rFonts w:ascii="Times New Roman" w:hAnsi="Times New Roman" w:cs="Times New Roman"/>
          <w:sz w:val="32"/>
          <w:szCs w:val="32"/>
          <w:lang w:val="el-GR"/>
        </w:rPr>
        <w:t>Θα πρέπει πάντως να σημειωθεί ότι οι αποφάσεις του Διοικητικού Δικαστηρίου υπόκεινται σε έφεση ενώπιον του Ανωτάτου Δικαστηρίου</w:t>
      </w:r>
      <w:r w:rsidR="0071246C">
        <w:rPr>
          <w:rFonts w:ascii="Times New Roman" w:hAnsi="Times New Roman" w:cs="Times New Roman"/>
          <w:sz w:val="32"/>
          <w:szCs w:val="32"/>
          <w:lang w:val="el-GR"/>
        </w:rPr>
        <w:t xml:space="preserve"> και εξ όσων γνωρίζω</w:t>
      </w:r>
      <w:r>
        <w:rPr>
          <w:rFonts w:ascii="Times New Roman" w:hAnsi="Times New Roman" w:cs="Times New Roman"/>
          <w:sz w:val="32"/>
          <w:szCs w:val="32"/>
          <w:lang w:val="el-GR"/>
        </w:rPr>
        <w:t>, όλες οι προαναφερθείσες αποφάσεις έχουν εφεσιβληθεί.  Θα δοθεί έτσι η ευκαιρία στο Ανώτατο Δικαστήριο να αναπτύξει και ενδεχομένως να διευκρινίσει τη νομολογία όπως διαμορφώθηκε από τις αποφάσεις Χαραλάμπους και Κουτσελλίνη.</w:t>
      </w:r>
    </w:p>
    <w:p w:rsidR="00244B32" w:rsidRPr="007D2285" w:rsidRDefault="00244B32" w:rsidP="00D85EE9">
      <w:pPr>
        <w:spacing w:after="0" w:line="480" w:lineRule="auto"/>
        <w:jc w:val="both"/>
        <w:rPr>
          <w:rFonts w:ascii="Times New Roman" w:hAnsi="Times New Roman" w:cs="Times New Roman"/>
          <w:sz w:val="32"/>
          <w:szCs w:val="32"/>
          <w:lang w:val="el-GR"/>
        </w:rPr>
      </w:pPr>
    </w:p>
    <w:p w:rsidR="007D2285" w:rsidRDefault="007D2285" w:rsidP="00D85EE9">
      <w:pPr>
        <w:spacing w:after="0" w:line="480" w:lineRule="auto"/>
        <w:jc w:val="both"/>
        <w:rPr>
          <w:rFonts w:ascii="Times New Roman" w:hAnsi="Times New Roman" w:cs="Times New Roman"/>
          <w:sz w:val="32"/>
          <w:szCs w:val="32"/>
          <w:lang w:val="el-GR"/>
        </w:rPr>
      </w:pPr>
    </w:p>
    <w:p w:rsidR="00914D6F" w:rsidRDefault="00914D6F" w:rsidP="00914D6F">
      <w:pPr>
        <w:spacing w:after="0" w:line="360" w:lineRule="auto"/>
        <w:jc w:val="both"/>
        <w:rPr>
          <w:rFonts w:ascii="Times New Roman" w:hAnsi="Times New Roman" w:cs="Times New Roman"/>
          <w:sz w:val="32"/>
          <w:szCs w:val="32"/>
          <w:lang w:val="el-GR"/>
        </w:rPr>
      </w:pPr>
      <w:r>
        <w:rPr>
          <w:rFonts w:ascii="Times New Roman" w:hAnsi="Times New Roman" w:cs="Times New Roman"/>
          <w:sz w:val="32"/>
          <w:szCs w:val="32"/>
          <w:lang w:val="el-GR"/>
        </w:rPr>
        <w:tab/>
      </w:r>
      <w:r>
        <w:rPr>
          <w:rFonts w:ascii="Times New Roman" w:hAnsi="Times New Roman" w:cs="Times New Roman"/>
          <w:sz w:val="32"/>
          <w:szCs w:val="32"/>
          <w:lang w:val="el-GR"/>
        </w:rPr>
        <w:tab/>
      </w:r>
      <w:r>
        <w:rPr>
          <w:rFonts w:ascii="Times New Roman" w:hAnsi="Times New Roman" w:cs="Times New Roman"/>
          <w:sz w:val="32"/>
          <w:szCs w:val="32"/>
          <w:lang w:val="el-GR"/>
        </w:rPr>
        <w:tab/>
      </w:r>
      <w:r>
        <w:rPr>
          <w:rFonts w:ascii="Times New Roman" w:hAnsi="Times New Roman" w:cs="Times New Roman"/>
          <w:sz w:val="32"/>
          <w:szCs w:val="32"/>
          <w:lang w:val="el-GR"/>
        </w:rPr>
        <w:tab/>
      </w:r>
      <w:r>
        <w:rPr>
          <w:rFonts w:ascii="Times New Roman" w:hAnsi="Times New Roman" w:cs="Times New Roman"/>
          <w:sz w:val="32"/>
          <w:szCs w:val="32"/>
          <w:lang w:val="el-GR"/>
        </w:rPr>
        <w:tab/>
      </w:r>
      <w:r>
        <w:rPr>
          <w:rFonts w:ascii="Times New Roman" w:hAnsi="Times New Roman" w:cs="Times New Roman"/>
          <w:sz w:val="32"/>
          <w:szCs w:val="32"/>
          <w:lang w:val="el-GR"/>
        </w:rPr>
        <w:tab/>
        <w:t>Τεύκρος Θ. Οικονόμου</w:t>
      </w:r>
    </w:p>
    <w:p w:rsidR="00914D6F" w:rsidRDefault="00914D6F" w:rsidP="00D85EE9">
      <w:pPr>
        <w:spacing w:after="0" w:line="480" w:lineRule="auto"/>
        <w:jc w:val="both"/>
        <w:rPr>
          <w:rFonts w:ascii="Times New Roman" w:hAnsi="Times New Roman" w:cs="Times New Roman"/>
          <w:sz w:val="32"/>
          <w:szCs w:val="32"/>
          <w:lang w:val="el-GR"/>
        </w:rPr>
      </w:pPr>
      <w:r>
        <w:rPr>
          <w:rFonts w:ascii="Times New Roman" w:hAnsi="Times New Roman" w:cs="Times New Roman"/>
          <w:sz w:val="32"/>
          <w:szCs w:val="32"/>
          <w:lang w:val="el-GR"/>
        </w:rPr>
        <w:tab/>
      </w:r>
      <w:r>
        <w:rPr>
          <w:rFonts w:ascii="Times New Roman" w:hAnsi="Times New Roman" w:cs="Times New Roman"/>
          <w:sz w:val="32"/>
          <w:szCs w:val="32"/>
          <w:lang w:val="el-GR"/>
        </w:rPr>
        <w:tab/>
      </w:r>
      <w:r>
        <w:rPr>
          <w:rFonts w:ascii="Times New Roman" w:hAnsi="Times New Roman" w:cs="Times New Roman"/>
          <w:sz w:val="32"/>
          <w:szCs w:val="32"/>
          <w:lang w:val="el-GR"/>
        </w:rPr>
        <w:tab/>
      </w:r>
      <w:r>
        <w:rPr>
          <w:rFonts w:ascii="Times New Roman" w:hAnsi="Times New Roman" w:cs="Times New Roman"/>
          <w:sz w:val="32"/>
          <w:szCs w:val="32"/>
          <w:lang w:val="el-GR"/>
        </w:rPr>
        <w:tab/>
        <w:t>Δικαστής Ανωτάτου Δικαστηρίου Κύπρου</w:t>
      </w:r>
    </w:p>
    <w:p w:rsidR="00914D6F" w:rsidRDefault="00914D6F" w:rsidP="00D85EE9">
      <w:pPr>
        <w:spacing w:after="0" w:line="480" w:lineRule="auto"/>
        <w:jc w:val="both"/>
        <w:rPr>
          <w:rFonts w:ascii="Times New Roman" w:hAnsi="Times New Roman" w:cs="Times New Roman"/>
          <w:sz w:val="32"/>
          <w:szCs w:val="32"/>
          <w:lang w:val="el-GR"/>
        </w:rPr>
      </w:pPr>
    </w:p>
    <w:p w:rsidR="00914D6F" w:rsidRDefault="00914D6F" w:rsidP="00D85EE9">
      <w:pPr>
        <w:spacing w:after="0" w:line="480" w:lineRule="auto"/>
        <w:jc w:val="both"/>
        <w:rPr>
          <w:rFonts w:ascii="Times New Roman" w:hAnsi="Times New Roman" w:cs="Times New Roman"/>
          <w:sz w:val="32"/>
          <w:szCs w:val="32"/>
          <w:lang w:val="el-GR"/>
        </w:rPr>
      </w:pPr>
    </w:p>
    <w:p w:rsidR="00914D6F" w:rsidRPr="007D2285" w:rsidRDefault="00914D6F" w:rsidP="00D85EE9">
      <w:pPr>
        <w:spacing w:after="0" w:line="480" w:lineRule="auto"/>
        <w:jc w:val="both"/>
        <w:rPr>
          <w:rFonts w:ascii="Times New Roman" w:hAnsi="Times New Roman" w:cs="Times New Roman"/>
          <w:sz w:val="32"/>
          <w:szCs w:val="32"/>
          <w:lang w:val="el-GR"/>
        </w:rPr>
      </w:pPr>
      <w:r>
        <w:rPr>
          <w:rFonts w:ascii="Times New Roman" w:hAnsi="Times New Roman" w:cs="Times New Roman"/>
          <w:sz w:val="32"/>
          <w:szCs w:val="32"/>
          <w:lang w:val="el-GR"/>
        </w:rPr>
        <w:t>16 Μαρτίου 2019</w:t>
      </w:r>
    </w:p>
    <w:sectPr w:rsidR="00914D6F" w:rsidRPr="007D2285" w:rsidSect="007D2285">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7A5" w:rsidRDefault="006657A5" w:rsidP="007D2285">
      <w:pPr>
        <w:spacing w:after="0" w:line="240" w:lineRule="auto"/>
      </w:pPr>
      <w:r>
        <w:separator/>
      </w:r>
    </w:p>
  </w:endnote>
  <w:endnote w:type="continuationSeparator" w:id="0">
    <w:p w:rsidR="006657A5" w:rsidRDefault="006657A5" w:rsidP="007D2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A1"/>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7A5" w:rsidRDefault="006657A5" w:rsidP="007D2285">
      <w:pPr>
        <w:spacing w:after="0" w:line="240" w:lineRule="auto"/>
      </w:pPr>
      <w:r>
        <w:separator/>
      </w:r>
    </w:p>
  </w:footnote>
  <w:footnote w:type="continuationSeparator" w:id="0">
    <w:p w:rsidR="006657A5" w:rsidRDefault="006657A5" w:rsidP="007D2285">
      <w:pPr>
        <w:spacing w:after="0" w:line="240" w:lineRule="auto"/>
      </w:pPr>
      <w:r>
        <w:continuationSeparator/>
      </w:r>
    </w:p>
  </w:footnote>
  <w:footnote w:id="1">
    <w:p w:rsidR="005E2169" w:rsidRPr="00A82172" w:rsidRDefault="005E2169">
      <w:pPr>
        <w:pStyle w:val="FootnoteText"/>
        <w:rPr>
          <w:lang w:val="el-GR"/>
        </w:rPr>
      </w:pPr>
      <w:r>
        <w:rPr>
          <w:rStyle w:val="FootnoteReference"/>
        </w:rPr>
        <w:footnoteRef/>
      </w:r>
      <w:r w:rsidRPr="00A82172">
        <w:rPr>
          <w:lang w:val="el-GR"/>
        </w:rPr>
        <w:t xml:space="preserve"> </w:t>
      </w:r>
      <w:r w:rsidR="00A82172" w:rsidRPr="00A82172">
        <w:rPr>
          <w:lang w:val="el-GR"/>
        </w:rPr>
        <w:t xml:space="preserve"> </w:t>
      </w:r>
      <w:r w:rsidR="00A82172">
        <w:rPr>
          <w:lang w:val="el-GR"/>
        </w:rPr>
        <w:t>Ο περί της Αναγνώρισης της Συνδικαλιστικής Οργάνωσης και του Δικαιώματος Παροχής Συνδικαλιστικών Διευκολύνσεων για Σκοπούς Αναγνώρισης Νόμος του 2012 (Ν. 55(Ι)/2012)</w:t>
      </w:r>
    </w:p>
  </w:footnote>
  <w:footnote w:id="2">
    <w:p w:rsidR="005E2169" w:rsidRPr="00D62D98" w:rsidRDefault="005E2169">
      <w:pPr>
        <w:pStyle w:val="FootnoteText"/>
        <w:rPr>
          <w:lang w:val="el-GR"/>
        </w:rPr>
      </w:pPr>
      <w:r>
        <w:rPr>
          <w:rStyle w:val="FootnoteReference"/>
        </w:rPr>
        <w:footnoteRef/>
      </w:r>
      <w:r w:rsidR="00A82172">
        <w:rPr>
          <w:lang w:val="el-GR"/>
        </w:rPr>
        <w:t xml:space="preserve"> Ο περί Προστασίας των Μισθών Νόμος του 2007 (Ν. 35(Ι)/2007</w:t>
      </w:r>
      <w:r w:rsidRPr="00A82172">
        <w:rPr>
          <w:lang w:val="el-GR"/>
        </w:rPr>
        <w:t xml:space="preserve"> </w:t>
      </w:r>
    </w:p>
  </w:footnote>
  <w:footnote w:id="3">
    <w:p w:rsidR="005E2169" w:rsidRPr="00A82172" w:rsidRDefault="005E2169">
      <w:pPr>
        <w:pStyle w:val="FootnoteText"/>
        <w:rPr>
          <w:lang w:val="el-GR"/>
        </w:rPr>
      </w:pPr>
      <w:r>
        <w:rPr>
          <w:rStyle w:val="FootnoteReference"/>
        </w:rPr>
        <w:footnoteRef/>
      </w:r>
      <w:r w:rsidRPr="00A82172">
        <w:rPr>
          <w:lang w:val="el-GR"/>
        </w:rPr>
        <w:t xml:space="preserve"> </w:t>
      </w:r>
      <w:r w:rsidR="00A82172">
        <w:rPr>
          <w:lang w:val="el-GR"/>
        </w:rPr>
        <w:t xml:space="preserve"> Ο περί Κοινωνικών Ασφαλίσεων Νόμος του 2010 (Ν. 59(Ι).2010)</w:t>
      </w:r>
    </w:p>
  </w:footnote>
  <w:footnote w:id="4">
    <w:p w:rsidR="005E2169" w:rsidRPr="00A82172" w:rsidRDefault="005E2169">
      <w:pPr>
        <w:pStyle w:val="FootnoteText"/>
        <w:rPr>
          <w:lang w:val="el-GR"/>
        </w:rPr>
      </w:pPr>
      <w:r>
        <w:rPr>
          <w:rStyle w:val="FootnoteReference"/>
        </w:rPr>
        <w:footnoteRef/>
      </w:r>
      <w:r w:rsidRPr="00A82172">
        <w:rPr>
          <w:lang w:val="el-GR"/>
        </w:rPr>
        <w:t xml:space="preserve"> </w:t>
      </w:r>
      <w:r w:rsidR="00A82172">
        <w:rPr>
          <w:lang w:val="el-GR"/>
        </w:rPr>
        <w:t>Ο περί Δημοσίων Βοηθημάτων και Υπηρεσιών Νόμος του 1991 (Ν. 8/1991) και ο περί Ελαχίστου Εγγυημένου Εισοδήματος και Γενικότερα περί Κοινωνικών Παροχών Νόμος του 2014 (Ν. 109(Ι)/2014</w:t>
      </w:r>
    </w:p>
  </w:footnote>
  <w:footnote w:id="5">
    <w:p w:rsidR="005E2169" w:rsidRPr="00A82172" w:rsidRDefault="005E2169">
      <w:pPr>
        <w:pStyle w:val="FootnoteText"/>
        <w:rPr>
          <w:lang w:val="el-GR"/>
        </w:rPr>
      </w:pPr>
      <w:r>
        <w:rPr>
          <w:rStyle w:val="FootnoteReference"/>
        </w:rPr>
        <w:footnoteRef/>
      </w:r>
      <w:r w:rsidRPr="00A82172">
        <w:rPr>
          <w:lang w:val="el-GR"/>
        </w:rPr>
        <w:t xml:space="preserve"> </w:t>
      </w:r>
      <w:r w:rsidR="00A82172">
        <w:rPr>
          <w:lang w:val="el-GR"/>
        </w:rPr>
        <w:t xml:space="preserve"> Ο περί Συντάξεων Νόμος του 1997 (Ν. 97(Ι)/1997</w:t>
      </w:r>
    </w:p>
  </w:footnote>
  <w:footnote w:id="6">
    <w:p w:rsidR="005E2169" w:rsidRPr="00D62D98" w:rsidRDefault="005E2169">
      <w:pPr>
        <w:pStyle w:val="FootnoteText"/>
        <w:rPr>
          <w:lang w:val="el-GR"/>
        </w:rPr>
      </w:pPr>
      <w:r>
        <w:rPr>
          <w:rStyle w:val="FootnoteReference"/>
        </w:rPr>
        <w:footnoteRef/>
      </w:r>
      <w:r w:rsidRPr="001C4652">
        <w:rPr>
          <w:lang w:val="el-GR"/>
        </w:rPr>
        <w:t xml:space="preserve"> </w:t>
      </w:r>
      <w:r w:rsidR="001C4652">
        <w:rPr>
          <w:lang w:val="el-GR"/>
        </w:rPr>
        <w:t xml:space="preserve"> Ο περί Συντάξεων Κρατικών Αξιωματούχων (Γενικές Αρχές) Νόμος του 2011 (Ν. 88(Ι)/2011)</w:t>
      </w:r>
    </w:p>
  </w:footnote>
  <w:footnote w:id="7">
    <w:p w:rsidR="005E2169" w:rsidRPr="00D62D98" w:rsidRDefault="005E2169">
      <w:pPr>
        <w:pStyle w:val="FootnoteText"/>
        <w:rPr>
          <w:lang w:val="el-GR"/>
        </w:rPr>
      </w:pPr>
      <w:r>
        <w:rPr>
          <w:rStyle w:val="FootnoteReference"/>
        </w:rPr>
        <w:footnoteRef/>
      </w:r>
      <w:r w:rsidRPr="001C4652">
        <w:rPr>
          <w:lang w:val="el-GR"/>
        </w:rPr>
        <w:t xml:space="preserve"> </w:t>
      </w:r>
      <w:r w:rsidR="001C4652">
        <w:rPr>
          <w:lang w:val="el-GR"/>
        </w:rPr>
        <w:t xml:space="preserve"> Ο περί Έκτακτης Εισφοράς Αξιωματούχων, Εργοδοτουμένων και Συνταξιούχων της Κρατικής Υπηρεσίας και του Ευρύτερου Δημοσίου Τομέα Νόμος του 2011 (Ν. 112(Ι)/2011)</w:t>
      </w:r>
    </w:p>
  </w:footnote>
  <w:footnote w:id="8">
    <w:p w:rsidR="005E2169" w:rsidRPr="00D62D98" w:rsidRDefault="005E2169">
      <w:pPr>
        <w:pStyle w:val="FootnoteText"/>
        <w:rPr>
          <w:lang w:val="el-GR"/>
        </w:rPr>
      </w:pPr>
      <w:r>
        <w:rPr>
          <w:rStyle w:val="FootnoteReference"/>
        </w:rPr>
        <w:footnoteRef/>
      </w:r>
      <w:r w:rsidRPr="001C4652">
        <w:rPr>
          <w:lang w:val="el-GR"/>
        </w:rPr>
        <w:t xml:space="preserve"> </w:t>
      </w:r>
      <w:r w:rsidR="001C4652">
        <w:rPr>
          <w:lang w:val="el-GR"/>
        </w:rPr>
        <w:t xml:space="preserve"> Ο περί Έκτακτης Εισφοράς Εργοδοτουμένων, Συνταξιούχων και Αυτοτελώς Εργαζομένων του Ιδιωτικού Τομέα Νόμος του 2011 (Ν. 202(Ι)/2011)</w:t>
      </w:r>
    </w:p>
  </w:footnote>
  <w:footnote w:id="9">
    <w:p w:rsidR="00606ADD" w:rsidRPr="00606ADD" w:rsidRDefault="00606ADD">
      <w:pPr>
        <w:pStyle w:val="FootnoteText"/>
        <w:rPr>
          <w:lang w:val="el-GR"/>
        </w:rPr>
      </w:pPr>
      <w:r>
        <w:rPr>
          <w:rStyle w:val="FootnoteReference"/>
        </w:rPr>
        <w:footnoteRef/>
      </w:r>
      <w:r w:rsidRPr="00606ADD">
        <w:rPr>
          <w:lang w:val="el-GR"/>
        </w:rPr>
        <w:t xml:space="preserve"> </w:t>
      </w:r>
      <w:r>
        <w:rPr>
          <w:lang w:val="el-GR"/>
        </w:rPr>
        <w:t>Η έκτακτη εισφορά τερματίστηκε την 31.12.2016.</w:t>
      </w:r>
    </w:p>
  </w:footnote>
  <w:footnote w:id="10">
    <w:p w:rsidR="005E2169" w:rsidRPr="00D62D98" w:rsidRDefault="005E2169">
      <w:pPr>
        <w:pStyle w:val="FootnoteText"/>
        <w:rPr>
          <w:lang w:val="el-GR"/>
        </w:rPr>
      </w:pPr>
      <w:r>
        <w:rPr>
          <w:rStyle w:val="FootnoteReference"/>
        </w:rPr>
        <w:footnoteRef/>
      </w:r>
      <w:r w:rsidRPr="00514BE7">
        <w:rPr>
          <w:lang w:val="el-GR"/>
        </w:rPr>
        <w:t xml:space="preserve"> </w:t>
      </w:r>
      <w:r w:rsidR="001C4652">
        <w:rPr>
          <w:lang w:val="el-GR"/>
        </w:rPr>
        <w:t xml:space="preserve"> Ο περί της Μείωσης των Απολαβών και των Συντάξεων των Αξιωματούχων, Εργοδοτουμένων και Συνταξιούχων της Κρατικής Υπηρεσίας και του Ευρύτερου Δημόσιου Τομέα Νόμος του 2012 (Ν. 168(Ι)/2012)</w:t>
      </w:r>
    </w:p>
  </w:footnote>
  <w:footnote w:id="11">
    <w:p w:rsidR="005E2169" w:rsidRPr="00514BE7" w:rsidRDefault="005E2169">
      <w:pPr>
        <w:pStyle w:val="FootnoteText"/>
        <w:rPr>
          <w:lang w:val="el-GR"/>
        </w:rPr>
      </w:pPr>
      <w:r>
        <w:rPr>
          <w:rStyle w:val="FootnoteReference"/>
        </w:rPr>
        <w:footnoteRef/>
      </w:r>
      <w:r w:rsidRPr="00514BE7">
        <w:rPr>
          <w:lang w:val="el-GR"/>
        </w:rPr>
        <w:t xml:space="preserve"> </w:t>
      </w:r>
      <w:r w:rsidR="00606ADD">
        <w:rPr>
          <w:lang w:val="el-GR"/>
        </w:rPr>
        <w:t xml:space="preserve"> Το ποσοστό ανήλθε</w:t>
      </w:r>
      <w:r w:rsidR="005741E4">
        <w:rPr>
          <w:lang w:val="el-GR"/>
        </w:rPr>
        <w:t xml:space="preserve"> από 1.1.2014 σε 17,5% αλλά, τ</w:t>
      </w:r>
      <w:r>
        <w:rPr>
          <w:lang w:val="el-GR"/>
        </w:rPr>
        <w:t>ον Ιούλιο του 2018 εγκρίθηκε από τη Βουλή πρόταση της Κυβέρνησης για σταδιακή εξάλειψη των αποκοπών σε μισθούς και συντάξεις και τερματισμό τους από 1.1.2023 (Ν. 94(Ι)/2018).</w:t>
      </w:r>
    </w:p>
  </w:footnote>
  <w:footnote w:id="12">
    <w:p w:rsidR="005E2169" w:rsidRPr="00514BE7" w:rsidRDefault="005E2169">
      <w:pPr>
        <w:pStyle w:val="FootnoteText"/>
        <w:rPr>
          <w:lang w:val="el-GR"/>
        </w:rPr>
      </w:pPr>
      <w:r>
        <w:rPr>
          <w:rStyle w:val="FootnoteReference"/>
        </w:rPr>
        <w:footnoteRef/>
      </w:r>
      <w:r w:rsidRPr="001C4652">
        <w:rPr>
          <w:lang w:val="el-GR"/>
        </w:rPr>
        <w:t xml:space="preserve"> </w:t>
      </w:r>
      <w:r w:rsidR="001C4652">
        <w:rPr>
          <w:lang w:val="el-GR"/>
        </w:rPr>
        <w:t xml:space="preserve">Ο περί </w:t>
      </w:r>
      <w:r w:rsidR="003F737E">
        <w:rPr>
          <w:lang w:val="el-GR"/>
        </w:rPr>
        <w:t>της μη Παραχώρησης Προσαυξήσεων και Τιμαριθμικών Αυξήσεων στους Μισθούς των Αξιωματούχων και Εργοδοτουμένων και στις Συντάξεις των Συνταξιούχων της Κρατικής Υπηρεσίας και του Ευρύτερου Δημοσίου Τομέα Νόμος του 2011 (Ν. 192(Ι)/2011)</w:t>
      </w:r>
    </w:p>
  </w:footnote>
  <w:footnote w:id="13">
    <w:p w:rsidR="005E2169" w:rsidRPr="00514BE7" w:rsidRDefault="005E2169">
      <w:pPr>
        <w:pStyle w:val="FootnoteText"/>
        <w:rPr>
          <w:lang w:val="el-GR"/>
        </w:rPr>
      </w:pPr>
      <w:r>
        <w:rPr>
          <w:rStyle w:val="FootnoteReference"/>
        </w:rPr>
        <w:footnoteRef/>
      </w:r>
      <w:r w:rsidRPr="001C4652">
        <w:rPr>
          <w:lang w:val="el-GR"/>
        </w:rPr>
        <w:t xml:space="preserve"> </w:t>
      </w:r>
      <w:r w:rsidR="003F737E">
        <w:rPr>
          <w:lang w:val="el-GR"/>
        </w:rPr>
        <w:t>Ο περί Συνταξιοδοτικών Ωφελημάτων Κρατικών Υπαλλήλων και Υπαλλήλων του Ευρύτερου Δημόσιου Τομέα περιλαμβανομένων και των Αρχών Τοπικής Αυτοδιοίκησης (Διατάξεις Γενικής Εφαρμογής) Νόμος του 2011 (Ν. 113(Ι)/2011) ο οποίος αντικαταστάθηκε από το Ν. 216(Ι)/2012</w:t>
      </w:r>
    </w:p>
  </w:footnote>
  <w:footnote w:id="14">
    <w:p w:rsidR="005E2169" w:rsidRPr="003F737E" w:rsidRDefault="005E2169" w:rsidP="000965F7">
      <w:pPr>
        <w:pStyle w:val="a"/>
        <w:spacing w:before="0" w:beforeAutospacing="0" w:after="0" w:afterAutospacing="0"/>
        <w:ind w:right="746"/>
        <w:jc w:val="both"/>
        <w:rPr>
          <w:rFonts w:asciiTheme="minorHAnsi" w:hAnsiTheme="minorHAnsi" w:cstheme="minorHAnsi"/>
          <w:color w:val="000000"/>
          <w:sz w:val="20"/>
          <w:szCs w:val="20"/>
          <w:lang w:val="el-GR"/>
        </w:rPr>
      </w:pPr>
      <w:r>
        <w:rPr>
          <w:rStyle w:val="FootnoteReference"/>
        </w:rPr>
        <w:footnoteRef/>
      </w:r>
      <w:r w:rsidRPr="001B4EEE">
        <w:rPr>
          <w:lang w:val="el-GR"/>
        </w:rPr>
        <w:t xml:space="preserve"> </w:t>
      </w:r>
      <w:r w:rsidR="003F737E" w:rsidRPr="003F737E">
        <w:rPr>
          <w:rFonts w:asciiTheme="minorHAnsi" w:hAnsiTheme="minorHAnsi" w:cstheme="minorHAnsi"/>
          <w:sz w:val="20"/>
          <w:szCs w:val="20"/>
          <w:lang w:val="el-GR"/>
        </w:rPr>
        <w:t>«</w:t>
      </w:r>
      <w:r w:rsidRPr="003F737E">
        <w:rPr>
          <w:rFonts w:asciiTheme="minorHAnsi" w:hAnsiTheme="minorHAnsi" w:cstheme="minorHAnsi"/>
          <w:color w:val="000000"/>
          <w:sz w:val="20"/>
          <w:szCs w:val="20"/>
          <w:lang w:val="el-GR"/>
        </w:rPr>
        <w:t>ΑΡΘΡΟΝ 23</w:t>
      </w:r>
    </w:p>
    <w:p w:rsidR="005E2169" w:rsidRPr="003F737E" w:rsidRDefault="005E2169" w:rsidP="000965F7">
      <w:pPr>
        <w:pStyle w:val="a"/>
        <w:spacing w:before="0" w:beforeAutospacing="0" w:after="0" w:afterAutospacing="0"/>
        <w:ind w:right="746" w:hanging="360"/>
        <w:jc w:val="both"/>
        <w:rPr>
          <w:rFonts w:asciiTheme="minorHAnsi" w:hAnsiTheme="minorHAnsi" w:cstheme="minorHAnsi"/>
          <w:color w:val="000000"/>
          <w:sz w:val="20"/>
          <w:szCs w:val="20"/>
          <w:lang w:val="el-GR"/>
        </w:rPr>
      </w:pPr>
      <w:r w:rsidRPr="003F737E">
        <w:rPr>
          <w:rFonts w:asciiTheme="minorHAnsi" w:hAnsiTheme="minorHAnsi" w:cstheme="minorHAnsi"/>
          <w:color w:val="000000"/>
          <w:sz w:val="20"/>
          <w:szCs w:val="20"/>
          <w:lang w:val="el-GR"/>
        </w:rPr>
        <w:t>1.</w:t>
      </w:r>
      <w:r w:rsidRPr="003F737E">
        <w:rPr>
          <w:rFonts w:asciiTheme="minorHAnsi" w:hAnsiTheme="minorHAnsi" w:cstheme="minorHAnsi"/>
          <w:color w:val="000000"/>
          <w:sz w:val="20"/>
          <w:szCs w:val="20"/>
        </w:rPr>
        <w:t>    </w:t>
      </w:r>
      <w:r w:rsidRPr="003F737E">
        <w:rPr>
          <w:rFonts w:asciiTheme="minorHAnsi" w:hAnsiTheme="minorHAnsi" w:cstheme="minorHAnsi"/>
          <w:color w:val="000000"/>
          <w:sz w:val="20"/>
          <w:szCs w:val="20"/>
          <w:lang w:val="el-GR"/>
        </w:rPr>
        <w:t xml:space="preserve"> Έκαστος, μόνος ή από κοινού μετ' άλλων, έχει το δικαίωμα να αποκτά, να είναι κύριος, να κατέχη, απολαύη ή διαθέτη οιανδήποτε κινητήν ή ακίνητον ιδιοκτησίαν και δικαιούται να απαιτή τον σεβασμόν του τοιούτου δικαιώματος αυτού.</w:t>
      </w:r>
    </w:p>
    <w:p w:rsidR="005E2169" w:rsidRPr="003F737E" w:rsidRDefault="005E2169" w:rsidP="000965F7">
      <w:pPr>
        <w:pStyle w:val="a"/>
        <w:spacing w:before="0" w:beforeAutospacing="0" w:after="0" w:afterAutospacing="0"/>
        <w:ind w:right="746"/>
        <w:jc w:val="both"/>
        <w:rPr>
          <w:rFonts w:asciiTheme="minorHAnsi" w:hAnsiTheme="minorHAnsi" w:cstheme="minorHAnsi"/>
          <w:color w:val="000000"/>
          <w:sz w:val="20"/>
          <w:szCs w:val="20"/>
          <w:lang w:val="el-GR"/>
        </w:rPr>
      </w:pPr>
      <w:r w:rsidRPr="003F737E">
        <w:rPr>
          <w:rFonts w:asciiTheme="minorHAnsi" w:hAnsiTheme="minorHAnsi" w:cstheme="minorHAnsi"/>
          <w:color w:val="000000"/>
          <w:sz w:val="20"/>
          <w:szCs w:val="20"/>
        </w:rPr>
        <w:t> </w:t>
      </w:r>
    </w:p>
    <w:p w:rsidR="005E2169" w:rsidRPr="003F737E" w:rsidRDefault="005E2169" w:rsidP="000965F7">
      <w:pPr>
        <w:pStyle w:val="a"/>
        <w:spacing w:before="0" w:beforeAutospacing="0" w:after="0" w:afterAutospacing="0"/>
        <w:ind w:right="746"/>
        <w:jc w:val="both"/>
        <w:rPr>
          <w:rFonts w:asciiTheme="minorHAnsi" w:hAnsiTheme="minorHAnsi" w:cstheme="minorHAnsi"/>
          <w:color w:val="000000"/>
          <w:sz w:val="20"/>
          <w:szCs w:val="20"/>
          <w:lang w:val="el-GR"/>
        </w:rPr>
      </w:pPr>
      <w:r w:rsidRPr="003F737E">
        <w:rPr>
          <w:rFonts w:asciiTheme="minorHAnsi" w:hAnsiTheme="minorHAnsi" w:cstheme="minorHAnsi"/>
          <w:color w:val="000000"/>
          <w:sz w:val="20"/>
          <w:szCs w:val="20"/>
          <w:lang w:val="el-GR"/>
        </w:rPr>
        <w:t>Το δικαίωμα της Δημοκρατίας επί των υπογείων υδάτων, ορυχείων και μεταλλείων και αρχαιοτήτων διαφυλάσσεται.</w:t>
      </w:r>
    </w:p>
    <w:p w:rsidR="005E2169" w:rsidRPr="003F737E" w:rsidRDefault="005E2169" w:rsidP="000965F7">
      <w:pPr>
        <w:pStyle w:val="a"/>
        <w:spacing w:before="0" w:beforeAutospacing="0" w:after="0" w:afterAutospacing="0"/>
        <w:ind w:right="746"/>
        <w:jc w:val="both"/>
        <w:rPr>
          <w:rFonts w:asciiTheme="minorHAnsi" w:hAnsiTheme="minorHAnsi" w:cstheme="minorHAnsi"/>
          <w:color w:val="000000"/>
          <w:sz w:val="20"/>
          <w:szCs w:val="20"/>
          <w:lang w:val="el-GR"/>
        </w:rPr>
      </w:pPr>
      <w:r w:rsidRPr="003F737E">
        <w:rPr>
          <w:rFonts w:asciiTheme="minorHAnsi" w:hAnsiTheme="minorHAnsi" w:cstheme="minorHAnsi"/>
          <w:color w:val="000000"/>
          <w:sz w:val="20"/>
          <w:szCs w:val="20"/>
        </w:rPr>
        <w:t> </w:t>
      </w:r>
    </w:p>
    <w:p w:rsidR="005E2169" w:rsidRPr="003F737E" w:rsidRDefault="005E2169" w:rsidP="000965F7">
      <w:pPr>
        <w:pStyle w:val="a"/>
        <w:spacing w:before="0" w:beforeAutospacing="0" w:after="0" w:afterAutospacing="0"/>
        <w:ind w:right="746" w:hanging="360"/>
        <w:jc w:val="both"/>
        <w:rPr>
          <w:rFonts w:asciiTheme="minorHAnsi" w:hAnsiTheme="minorHAnsi" w:cstheme="minorHAnsi"/>
          <w:color w:val="000000"/>
          <w:sz w:val="20"/>
          <w:szCs w:val="20"/>
          <w:lang w:val="el-GR"/>
        </w:rPr>
      </w:pPr>
      <w:r w:rsidRPr="003F737E">
        <w:rPr>
          <w:rFonts w:asciiTheme="minorHAnsi" w:hAnsiTheme="minorHAnsi" w:cstheme="minorHAnsi"/>
          <w:color w:val="000000"/>
          <w:sz w:val="20"/>
          <w:szCs w:val="20"/>
          <w:lang w:val="el-GR"/>
        </w:rPr>
        <w:t>2.</w:t>
      </w:r>
      <w:r w:rsidRPr="003F737E">
        <w:rPr>
          <w:rFonts w:asciiTheme="minorHAnsi" w:hAnsiTheme="minorHAnsi" w:cstheme="minorHAnsi"/>
          <w:color w:val="000000"/>
          <w:sz w:val="20"/>
          <w:szCs w:val="20"/>
        </w:rPr>
        <w:t>    </w:t>
      </w:r>
      <w:r w:rsidRPr="003F737E">
        <w:rPr>
          <w:rFonts w:asciiTheme="minorHAnsi" w:hAnsiTheme="minorHAnsi" w:cstheme="minorHAnsi"/>
          <w:color w:val="000000"/>
          <w:sz w:val="20"/>
          <w:szCs w:val="20"/>
          <w:lang w:val="el-GR"/>
        </w:rPr>
        <w:t xml:space="preserve"> Στέρησις ή περιορισμός οιουδήποτε τοιούτου δικαιώματος δεν δύναται να επιβληθή, ειμή ως προβλέπεται υπό του παρόντος άρθρου.</w:t>
      </w:r>
    </w:p>
    <w:p w:rsidR="005E2169" w:rsidRPr="003F737E" w:rsidRDefault="005E2169" w:rsidP="000965F7">
      <w:pPr>
        <w:pStyle w:val="a"/>
        <w:spacing w:before="0" w:beforeAutospacing="0" w:after="0" w:afterAutospacing="0"/>
        <w:ind w:right="746"/>
        <w:jc w:val="both"/>
        <w:rPr>
          <w:rFonts w:asciiTheme="minorHAnsi" w:hAnsiTheme="minorHAnsi" w:cstheme="minorHAnsi"/>
          <w:color w:val="000000"/>
          <w:sz w:val="20"/>
          <w:szCs w:val="20"/>
          <w:lang w:val="el-GR"/>
        </w:rPr>
      </w:pPr>
      <w:r w:rsidRPr="003F737E">
        <w:rPr>
          <w:rFonts w:asciiTheme="minorHAnsi" w:hAnsiTheme="minorHAnsi" w:cstheme="minorHAnsi"/>
          <w:color w:val="000000"/>
          <w:sz w:val="20"/>
          <w:szCs w:val="20"/>
        </w:rPr>
        <w:t> </w:t>
      </w:r>
    </w:p>
    <w:p w:rsidR="005E2169" w:rsidRPr="003F737E" w:rsidRDefault="005E2169" w:rsidP="000965F7">
      <w:pPr>
        <w:pStyle w:val="a"/>
        <w:spacing w:before="0" w:beforeAutospacing="0" w:after="0" w:afterAutospacing="0"/>
        <w:ind w:right="746" w:hanging="360"/>
        <w:jc w:val="both"/>
        <w:rPr>
          <w:rFonts w:asciiTheme="minorHAnsi" w:hAnsiTheme="minorHAnsi" w:cstheme="minorHAnsi"/>
          <w:color w:val="000000"/>
          <w:sz w:val="20"/>
          <w:szCs w:val="20"/>
          <w:lang w:val="el-GR"/>
        </w:rPr>
      </w:pPr>
      <w:r w:rsidRPr="003F737E">
        <w:rPr>
          <w:rFonts w:asciiTheme="minorHAnsi" w:hAnsiTheme="minorHAnsi" w:cstheme="minorHAnsi"/>
          <w:color w:val="000000"/>
          <w:sz w:val="20"/>
          <w:szCs w:val="20"/>
          <w:lang w:val="el-GR"/>
        </w:rPr>
        <w:t>3.</w:t>
      </w:r>
      <w:r w:rsidRPr="003F737E">
        <w:rPr>
          <w:rFonts w:asciiTheme="minorHAnsi" w:hAnsiTheme="minorHAnsi" w:cstheme="minorHAnsi"/>
          <w:color w:val="000000"/>
          <w:sz w:val="20"/>
          <w:szCs w:val="20"/>
        </w:rPr>
        <w:t>    </w:t>
      </w:r>
      <w:r w:rsidRPr="003F737E">
        <w:rPr>
          <w:rFonts w:asciiTheme="minorHAnsi" w:hAnsiTheme="minorHAnsi" w:cstheme="minorHAnsi"/>
          <w:color w:val="000000"/>
          <w:sz w:val="20"/>
          <w:szCs w:val="20"/>
          <w:lang w:val="el-GR"/>
        </w:rPr>
        <w:t xml:space="preserve"> Η άσκησις τοιούτου δικαιώματος δύναται να υποβληθή διά νόμου εις όρους, δεσμεύσεις ή περιορισμούς απολύτως απαραιτήτους προς το συμφέρον της δημοσίας ασφαλείας ή της δημοσίας υγιείας ή των δημοσίων ηθών ή της πολεοδομίας ή της αναπτύξεως και χρησιμοποιήσεως οιασδήποτε ιδιοκτησίας προς προαγωγήν της δημοσίας ωφελείας ή προς προστασίαν των δικαιωμάτων τρίτων.</w:t>
      </w:r>
    </w:p>
    <w:p w:rsidR="005E2169" w:rsidRPr="003F737E" w:rsidRDefault="005E2169" w:rsidP="000965F7">
      <w:pPr>
        <w:pStyle w:val="a"/>
        <w:spacing w:before="0" w:beforeAutospacing="0" w:after="0" w:afterAutospacing="0"/>
        <w:ind w:right="746"/>
        <w:jc w:val="both"/>
        <w:rPr>
          <w:rFonts w:asciiTheme="minorHAnsi" w:hAnsiTheme="minorHAnsi" w:cstheme="minorHAnsi"/>
          <w:color w:val="000000"/>
          <w:sz w:val="20"/>
          <w:szCs w:val="20"/>
          <w:lang w:val="el-GR"/>
        </w:rPr>
      </w:pPr>
      <w:r w:rsidRPr="003F737E">
        <w:rPr>
          <w:rFonts w:asciiTheme="minorHAnsi" w:hAnsiTheme="minorHAnsi" w:cstheme="minorHAnsi"/>
          <w:color w:val="000000"/>
          <w:sz w:val="20"/>
          <w:szCs w:val="20"/>
        </w:rPr>
        <w:t> </w:t>
      </w:r>
    </w:p>
    <w:p w:rsidR="005E2169" w:rsidRPr="003F737E" w:rsidRDefault="005E2169" w:rsidP="000965F7">
      <w:pPr>
        <w:pStyle w:val="a"/>
        <w:spacing w:before="0" w:beforeAutospacing="0" w:after="0" w:afterAutospacing="0"/>
        <w:ind w:right="746"/>
        <w:jc w:val="both"/>
        <w:rPr>
          <w:rFonts w:asciiTheme="minorHAnsi" w:hAnsiTheme="minorHAnsi" w:cstheme="minorHAnsi"/>
          <w:color w:val="000000"/>
          <w:sz w:val="20"/>
          <w:szCs w:val="20"/>
          <w:lang w:val="el-GR"/>
        </w:rPr>
      </w:pPr>
      <w:r w:rsidRPr="003F737E">
        <w:rPr>
          <w:rFonts w:asciiTheme="minorHAnsi" w:hAnsiTheme="minorHAnsi" w:cstheme="minorHAnsi"/>
          <w:color w:val="000000"/>
          <w:sz w:val="20"/>
          <w:szCs w:val="20"/>
          <w:lang w:val="el-GR"/>
        </w:rPr>
        <w:t>Διά πάντα τοιούτον όρον, δέσμευσιν ή περιορισμόν, όστις μειώνει ουσιωδώς την οικονομικήν αξίαν της τοιαύτης ιδιοκτησίας, δέον να καταβάλληται το ταχύτερον δικαία αποζημίωσις, καθοριζομένη, εν περιπτώσει διαφωνίας, υπό πολιτικού δικαστηρίου.</w:t>
      </w:r>
    </w:p>
    <w:p w:rsidR="005E2169" w:rsidRPr="003F737E" w:rsidRDefault="005E2169" w:rsidP="000965F7">
      <w:pPr>
        <w:pStyle w:val="a"/>
        <w:spacing w:before="0" w:beforeAutospacing="0" w:after="0" w:afterAutospacing="0"/>
        <w:ind w:right="746"/>
        <w:jc w:val="both"/>
        <w:rPr>
          <w:rFonts w:asciiTheme="minorHAnsi" w:hAnsiTheme="minorHAnsi" w:cstheme="minorHAnsi"/>
          <w:color w:val="000000"/>
          <w:sz w:val="20"/>
          <w:szCs w:val="20"/>
          <w:lang w:val="el-GR"/>
        </w:rPr>
      </w:pPr>
      <w:r w:rsidRPr="003F737E">
        <w:rPr>
          <w:rFonts w:asciiTheme="minorHAnsi" w:hAnsiTheme="minorHAnsi" w:cstheme="minorHAnsi"/>
          <w:color w:val="000000"/>
          <w:sz w:val="20"/>
          <w:szCs w:val="20"/>
        </w:rPr>
        <w:t> </w:t>
      </w:r>
    </w:p>
    <w:p w:rsidR="005E2169" w:rsidRPr="003F737E" w:rsidRDefault="005E2169" w:rsidP="000965F7">
      <w:pPr>
        <w:pStyle w:val="a"/>
        <w:spacing w:before="0" w:beforeAutospacing="0" w:after="0" w:afterAutospacing="0"/>
        <w:ind w:right="746"/>
        <w:jc w:val="both"/>
        <w:rPr>
          <w:rFonts w:asciiTheme="minorHAnsi" w:hAnsiTheme="minorHAnsi" w:cstheme="minorHAnsi"/>
          <w:color w:val="000000"/>
          <w:sz w:val="20"/>
          <w:szCs w:val="20"/>
          <w:lang w:val="el-GR"/>
        </w:rPr>
      </w:pPr>
      <w:r w:rsidRPr="003F737E">
        <w:rPr>
          <w:rFonts w:asciiTheme="minorHAnsi" w:hAnsiTheme="minorHAnsi" w:cstheme="minorHAnsi"/>
          <w:color w:val="000000"/>
          <w:sz w:val="20"/>
          <w:szCs w:val="20"/>
          <w:lang w:val="el-GR"/>
        </w:rPr>
        <w:t>..........................»</w:t>
      </w:r>
    </w:p>
    <w:p w:rsidR="005E2169" w:rsidRPr="003F737E" w:rsidRDefault="005E2169">
      <w:pPr>
        <w:pStyle w:val="FootnoteText"/>
        <w:rPr>
          <w:rFonts w:cstheme="minorHAnsi"/>
          <w:lang w:val="el-GR"/>
        </w:rPr>
      </w:pPr>
    </w:p>
  </w:footnote>
  <w:footnote w:id="15">
    <w:p w:rsidR="005E2169" w:rsidRPr="003F737E" w:rsidRDefault="005E2169" w:rsidP="000965F7">
      <w:pPr>
        <w:pStyle w:val="a"/>
        <w:spacing w:before="0" w:beforeAutospacing="0" w:after="0" w:afterAutospacing="0"/>
        <w:ind w:right="746"/>
        <w:jc w:val="both"/>
        <w:rPr>
          <w:rFonts w:asciiTheme="minorHAnsi" w:hAnsiTheme="minorHAnsi" w:cstheme="minorHAnsi"/>
          <w:color w:val="000000"/>
          <w:sz w:val="20"/>
          <w:szCs w:val="20"/>
          <w:lang w:val="el-GR"/>
        </w:rPr>
      </w:pPr>
      <w:r w:rsidRPr="003F737E">
        <w:rPr>
          <w:rStyle w:val="FootnoteReference"/>
          <w:rFonts w:asciiTheme="minorHAnsi" w:hAnsiTheme="minorHAnsi" w:cstheme="minorHAnsi"/>
          <w:sz w:val="22"/>
          <w:szCs w:val="22"/>
        </w:rPr>
        <w:footnoteRef/>
      </w:r>
      <w:r w:rsidRPr="003F737E">
        <w:rPr>
          <w:rFonts w:asciiTheme="minorHAnsi" w:hAnsiTheme="minorHAnsi" w:cstheme="minorHAnsi"/>
          <w:sz w:val="22"/>
          <w:szCs w:val="22"/>
          <w:lang w:val="el-GR"/>
        </w:rPr>
        <w:t xml:space="preserve"> </w:t>
      </w:r>
      <w:r w:rsidRPr="003F737E">
        <w:rPr>
          <w:rFonts w:asciiTheme="minorHAnsi" w:hAnsiTheme="minorHAnsi" w:cstheme="minorHAnsi"/>
          <w:color w:val="000000"/>
          <w:sz w:val="20"/>
          <w:szCs w:val="20"/>
          <w:lang w:val="el-GR"/>
        </w:rPr>
        <w:t xml:space="preserve">«Άρθρο 1 - Προστασία της ιδιοκτησίας </w:t>
      </w:r>
    </w:p>
    <w:p w:rsidR="005E2169" w:rsidRPr="003F737E" w:rsidRDefault="005E2169" w:rsidP="000965F7">
      <w:pPr>
        <w:pStyle w:val="a"/>
        <w:spacing w:before="0" w:beforeAutospacing="0" w:after="0" w:afterAutospacing="0"/>
        <w:ind w:right="746"/>
        <w:jc w:val="both"/>
        <w:rPr>
          <w:rFonts w:asciiTheme="minorHAnsi" w:hAnsiTheme="minorHAnsi" w:cstheme="minorHAnsi"/>
          <w:color w:val="000000"/>
          <w:sz w:val="20"/>
          <w:szCs w:val="20"/>
          <w:lang w:val="el-GR"/>
        </w:rPr>
      </w:pPr>
      <w:r w:rsidRPr="003F737E">
        <w:rPr>
          <w:rFonts w:asciiTheme="minorHAnsi" w:hAnsiTheme="minorHAnsi" w:cstheme="minorHAnsi"/>
          <w:color w:val="000000"/>
          <w:sz w:val="20"/>
          <w:szCs w:val="20"/>
          <w:lang w:val="el-GR"/>
        </w:rPr>
        <w:t>Παν φυσικόν ή νομικόν πρόσωπον δικαιούται σεβασμού της περιουσίας του.</w:t>
      </w:r>
      <w:r w:rsidRPr="003F737E">
        <w:rPr>
          <w:rFonts w:asciiTheme="minorHAnsi" w:hAnsiTheme="minorHAnsi" w:cstheme="minorHAnsi"/>
          <w:color w:val="000000"/>
          <w:sz w:val="20"/>
          <w:szCs w:val="20"/>
        </w:rPr>
        <w:t> </w:t>
      </w:r>
      <w:r w:rsidRPr="003F737E">
        <w:rPr>
          <w:rFonts w:asciiTheme="minorHAnsi" w:hAnsiTheme="minorHAnsi" w:cstheme="minorHAnsi"/>
          <w:color w:val="000000"/>
          <w:sz w:val="20"/>
          <w:szCs w:val="20"/>
          <w:lang w:val="el-GR"/>
        </w:rPr>
        <w:t xml:space="preserve"> Ουδείς δύναται να στερηθή της ιδιοκτησίας αυτού ειμή διά λόγους δημοσίας ωφελείας και υπό τους προβλεπομένους, υπό του νόμου και των γενικών αρχών του διεθνούς δικαίου, όρους.</w:t>
      </w:r>
    </w:p>
    <w:p w:rsidR="005E2169" w:rsidRPr="003F737E" w:rsidRDefault="005E2169" w:rsidP="000965F7">
      <w:pPr>
        <w:pStyle w:val="a"/>
        <w:spacing w:before="0" w:beforeAutospacing="0" w:after="0" w:afterAutospacing="0"/>
        <w:ind w:right="746"/>
        <w:jc w:val="both"/>
        <w:rPr>
          <w:rFonts w:asciiTheme="minorHAnsi" w:hAnsiTheme="minorHAnsi" w:cstheme="minorHAnsi"/>
          <w:color w:val="000000"/>
          <w:sz w:val="20"/>
          <w:szCs w:val="20"/>
          <w:lang w:val="el-GR"/>
        </w:rPr>
      </w:pPr>
      <w:r w:rsidRPr="003F737E">
        <w:rPr>
          <w:rFonts w:asciiTheme="minorHAnsi" w:hAnsiTheme="minorHAnsi" w:cstheme="minorHAnsi"/>
          <w:color w:val="000000"/>
          <w:sz w:val="20"/>
          <w:szCs w:val="20"/>
        </w:rPr>
        <w:t> </w:t>
      </w:r>
    </w:p>
    <w:p w:rsidR="005E2169" w:rsidRPr="001B4EEE" w:rsidRDefault="005E2169" w:rsidP="000965F7">
      <w:pPr>
        <w:pStyle w:val="a"/>
        <w:spacing w:before="0" w:beforeAutospacing="0" w:after="0" w:afterAutospacing="0"/>
        <w:ind w:right="746"/>
        <w:jc w:val="both"/>
        <w:rPr>
          <w:lang w:val="el-GR"/>
        </w:rPr>
      </w:pPr>
      <w:r w:rsidRPr="003F737E">
        <w:rPr>
          <w:rFonts w:asciiTheme="minorHAnsi" w:hAnsiTheme="minorHAnsi" w:cstheme="minorHAnsi"/>
          <w:color w:val="000000"/>
          <w:sz w:val="20"/>
          <w:szCs w:val="20"/>
          <w:lang w:val="el-GR"/>
        </w:rPr>
        <w:t xml:space="preserve">Αι προαναφερόμεναι διατάξεις δεν θίγουσιν το δικαίωμα παντός Κράτους όπως θέση εν ισχύι Νόμους ους ήθελε κρίνει αναγκαίους προς ρύθμισιν της χρήσεως αγαθών συμφώνως προς το δημόσιον συμφέρον ή προς εξασφάλισιν της καταβολής φόρων ή άλλων εισφορών ή προστίμων.» </w:t>
      </w:r>
      <w:r>
        <w:rPr>
          <w:rFonts w:ascii="&amp;quot" w:hAnsi="&amp;quot"/>
          <w:color w:val="000000"/>
          <w:sz w:val="28"/>
          <w:szCs w:val="28"/>
        </w:rPr>
        <w:t> </w:t>
      </w:r>
    </w:p>
  </w:footnote>
  <w:footnote w:id="16">
    <w:p w:rsidR="005E2169" w:rsidRPr="00713FDE" w:rsidRDefault="005E2169">
      <w:pPr>
        <w:pStyle w:val="FootnoteText"/>
        <w:rPr>
          <w:rFonts w:cstheme="minorHAnsi"/>
          <w:lang w:val="el-GR"/>
        </w:rPr>
      </w:pPr>
      <w:r>
        <w:rPr>
          <w:rStyle w:val="FootnoteReference"/>
        </w:rPr>
        <w:footnoteRef/>
      </w:r>
      <w:r w:rsidRPr="000B442D">
        <w:t xml:space="preserve"> </w:t>
      </w:r>
      <w:r w:rsidRPr="00713FDE">
        <w:rPr>
          <w:rFonts w:cstheme="minorHAnsi"/>
          <w:bCs/>
          <w:iCs/>
          <w:color w:val="000000"/>
          <w:lang w:val="el-GR"/>
        </w:rPr>
        <w:t>Κ</w:t>
      </w:r>
      <w:r w:rsidRPr="00713FDE">
        <w:rPr>
          <w:rFonts w:cstheme="minorHAnsi"/>
          <w:bCs/>
          <w:iCs/>
          <w:color w:val="000000"/>
          <w:lang w:val="en-GB"/>
        </w:rPr>
        <w:t>anakis</w:t>
      </w:r>
      <w:r w:rsidRPr="00713FDE">
        <w:rPr>
          <w:rFonts w:cstheme="minorHAnsi"/>
          <w:bCs/>
          <w:iCs/>
          <w:color w:val="000000"/>
        </w:rPr>
        <w:t xml:space="preserve"> </w:t>
      </w:r>
      <w:r w:rsidRPr="00713FDE">
        <w:rPr>
          <w:rFonts w:cstheme="minorHAnsi"/>
          <w:bCs/>
          <w:iCs/>
          <w:color w:val="000000"/>
          <w:lang w:val="en-GB"/>
        </w:rPr>
        <w:t>and</w:t>
      </w:r>
      <w:r w:rsidRPr="00713FDE">
        <w:rPr>
          <w:rFonts w:cstheme="minorHAnsi"/>
          <w:bCs/>
          <w:iCs/>
          <w:color w:val="000000"/>
        </w:rPr>
        <w:t xml:space="preserve"> </w:t>
      </w:r>
      <w:r w:rsidRPr="00713FDE">
        <w:rPr>
          <w:rFonts w:cstheme="minorHAnsi"/>
          <w:bCs/>
          <w:iCs/>
          <w:color w:val="000000"/>
          <w:lang w:val="el-GR"/>
        </w:rPr>
        <w:t>Ο</w:t>
      </w:r>
      <w:r w:rsidRPr="00713FDE">
        <w:rPr>
          <w:rFonts w:cstheme="minorHAnsi"/>
          <w:bCs/>
          <w:iCs/>
          <w:color w:val="000000"/>
          <w:lang w:val="en-GB"/>
        </w:rPr>
        <w:t>thers</w:t>
      </w:r>
      <w:r w:rsidRPr="00713FDE">
        <w:rPr>
          <w:rFonts w:cstheme="minorHAnsi"/>
          <w:bCs/>
          <w:iCs/>
          <w:color w:val="000000"/>
        </w:rPr>
        <w:t xml:space="preserve"> </w:t>
      </w:r>
      <w:r w:rsidRPr="00713FDE">
        <w:rPr>
          <w:rFonts w:cstheme="minorHAnsi"/>
          <w:bCs/>
          <w:iCs/>
          <w:color w:val="000000"/>
          <w:lang w:val="en-GB"/>
        </w:rPr>
        <w:t>v</w:t>
      </w:r>
      <w:r w:rsidRPr="00713FDE">
        <w:rPr>
          <w:rFonts w:cstheme="minorHAnsi"/>
          <w:bCs/>
          <w:iCs/>
          <w:color w:val="000000"/>
        </w:rPr>
        <w:t xml:space="preserve">. </w:t>
      </w:r>
      <w:r w:rsidRPr="00713FDE">
        <w:rPr>
          <w:rFonts w:cstheme="minorHAnsi"/>
          <w:bCs/>
          <w:iCs/>
          <w:color w:val="000000"/>
          <w:lang w:val="en-GB"/>
        </w:rPr>
        <w:t>Greece</w:t>
      </w:r>
      <w:r w:rsidRPr="00713FDE">
        <w:rPr>
          <w:rFonts w:cstheme="minorHAnsi"/>
          <w:bCs/>
          <w:iCs/>
          <w:color w:val="000000"/>
        </w:rPr>
        <w:t xml:space="preserve">, </w:t>
      </w:r>
      <w:r w:rsidRPr="00713FDE">
        <w:rPr>
          <w:rFonts w:cstheme="minorHAnsi"/>
          <w:bCs/>
          <w:iCs/>
          <w:color w:val="000000"/>
          <w:lang w:val="en-GB"/>
        </w:rPr>
        <w:t>Case</w:t>
      </w:r>
      <w:r w:rsidRPr="00713FDE">
        <w:rPr>
          <w:rFonts w:cstheme="minorHAnsi"/>
          <w:bCs/>
          <w:iCs/>
          <w:color w:val="000000"/>
        </w:rPr>
        <w:t xml:space="preserve"> </w:t>
      </w:r>
      <w:r w:rsidRPr="00713FDE">
        <w:rPr>
          <w:rFonts w:cstheme="minorHAnsi"/>
          <w:bCs/>
          <w:iCs/>
          <w:color w:val="000000"/>
          <w:lang w:val="en-GB"/>
        </w:rPr>
        <w:t>No</w:t>
      </w:r>
      <w:r w:rsidRPr="00713FDE">
        <w:rPr>
          <w:rFonts w:cstheme="minorHAnsi"/>
          <w:bCs/>
          <w:iCs/>
          <w:color w:val="000000"/>
        </w:rPr>
        <w:t xml:space="preserve">. 59142/00, </w:t>
      </w:r>
      <w:r w:rsidRPr="00713FDE">
        <w:rPr>
          <w:rFonts w:cstheme="minorHAnsi"/>
          <w:bCs/>
          <w:iCs/>
          <w:color w:val="000000"/>
          <w:lang w:val="el-GR"/>
        </w:rPr>
        <w:t>ημερ</w:t>
      </w:r>
      <w:r w:rsidRPr="00713FDE">
        <w:rPr>
          <w:rFonts w:cstheme="minorHAnsi"/>
          <w:bCs/>
          <w:iCs/>
          <w:color w:val="000000"/>
        </w:rPr>
        <w:t xml:space="preserve">. 20.9.2001 (ΕΔΑΔ), </w:t>
      </w:r>
      <w:r w:rsidRPr="00713FDE">
        <w:rPr>
          <w:rFonts w:cstheme="minorHAnsi"/>
          <w:bCs/>
          <w:iCs/>
          <w:color w:val="000000"/>
          <w:lang w:val="en-GB"/>
        </w:rPr>
        <w:t>Juhani Saarinen v</w:t>
      </w:r>
      <w:r w:rsidRPr="00713FDE">
        <w:rPr>
          <w:rFonts w:cstheme="minorHAnsi"/>
          <w:bCs/>
          <w:iCs/>
          <w:color w:val="000000"/>
        </w:rPr>
        <w:t xml:space="preserve">. </w:t>
      </w:r>
      <w:r w:rsidRPr="00713FDE">
        <w:rPr>
          <w:rFonts w:cstheme="minorHAnsi"/>
          <w:bCs/>
          <w:iCs/>
          <w:color w:val="000000"/>
          <w:lang w:val="en-GB"/>
        </w:rPr>
        <w:t>Finland</w:t>
      </w:r>
      <w:r w:rsidRPr="00713FDE">
        <w:rPr>
          <w:rFonts w:cstheme="minorHAnsi"/>
          <w:bCs/>
          <w:iCs/>
          <w:color w:val="000000"/>
        </w:rPr>
        <w:t xml:space="preserve">, </w:t>
      </w:r>
      <w:r w:rsidRPr="00713FDE">
        <w:rPr>
          <w:rFonts w:cstheme="minorHAnsi"/>
          <w:bCs/>
          <w:iCs/>
          <w:color w:val="000000"/>
          <w:lang w:val="en-GB"/>
        </w:rPr>
        <w:t>Case No</w:t>
      </w:r>
      <w:r w:rsidRPr="00713FDE">
        <w:rPr>
          <w:rFonts w:cstheme="minorHAnsi"/>
          <w:bCs/>
          <w:iCs/>
          <w:color w:val="000000"/>
        </w:rPr>
        <w:t xml:space="preserve">. 69136/01 (ΕΔΑΔ), ημερ. 28.1.2003, </w:t>
      </w:r>
      <w:r w:rsidRPr="00713FDE">
        <w:rPr>
          <w:rFonts w:cstheme="minorHAnsi"/>
          <w:bCs/>
          <w:iCs/>
          <w:color w:val="000000"/>
          <w:lang w:val="en-GB"/>
        </w:rPr>
        <w:t>Andrejeva v</w:t>
      </w:r>
      <w:r w:rsidRPr="00713FDE">
        <w:rPr>
          <w:rFonts w:cstheme="minorHAnsi"/>
          <w:bCs/>
          <w:iCs/>
          <w:color w:val="000000"/>
        </w:rPr>
        <w:t xml:space="preserve">. </w:t>
      </w:r>
      <w:r w:rsidRPr="00713FDE">
        <w:rPr>
          <w:rFonts w:cstheme="minorHAnsi"/>
          <w:bCs/>
          <w:iCs/>
          <w:color w:val="000000"/>
          <w:lang w:val="en-GB"/>
        </w:rPr>
        <w:t>Latvia</w:t>
      </w:r>
      <w:r w:rsidRPr="00713FDE">
        <w:rPr>
          <w:rFonts w:cstheme="minorHAnsi"/>
          <w:bCs/>
          <w:iCs/>
          <w:color w:val="000000"/>
        </w:rPr>
        <w:t xml:space="preserve">, ανωτέρω, σκέψη 77, </w:t>
      </w:r>
      <w:r w:rsidRPr="00713FDE">
        <w:rPr>
          <w:rFonts w:cstheme="minorHAnsi"/>
          <w:bCs/>
          <w:iCs/>
          <w:color w:val="000000"/>
          <w:lang w:val="en-GB"/>
        </w:rPr>
        <w:t>Stec and Others v</w:t>
      </w:r>
      <w:r w:rsidRPr="00713FDE">
        <w:rPr>
          <w:rFonts w:cstheme="minorHAnsi"/>
          <w:bCs/>
          <w:iCs/>
          <w:color w:val="000000"/>
        </w:rPr>
        <w:t xml:space="preserve">. </w:t>
      </w:r>
      <w:r w:rsidRPr="00713FDE">
        <w:rPr>
          <w:rFonts w:cstheme="minorHAnsi"/>
          <w:bCs/>
          <w:iCs/>
          <w:color w:val="000000"/>
          <w:lang w:val="en-GB"/>
        </w:rPr>
        <w:t>The United Kingdom</w:t>
      </w:r>
      <w:r w:rsidRPr="00713FDE">
        <w:rPr>
          <w:rFonts w:cstheme="minorHAnsi"/>
          <w:bCs/>
          <w:iCs/>
          <w:color w:val="000000"/>
        </w:rPr>
        <w:t xml:space="preserve">, </w:t>
      </w:r>
      <w:r w:rsidRPr="00713FDE">
        <w:rPr>
          <w:rFonts w:cstheme="minorHAnsi"/>
          <w:bCs/>
          <w:iCs/>
          <w:color w:val="000000"/>
          <w:lang w:val="en-GB"/>
        </w:rPr>
        <w:t>Case No</w:t>
      </w:r>
      <w:r w:rsidRPr="00713FDE">
        <w:rPr>
          <w:rFonts w:cstheme="minorHAnsi"/>
          <w:bCs/>
          <w:iCs/>
          <w:color w:val="000000"/>
        </w:rPr>
        <w:t>. 65731/01 και 65900/01 (ΕΔΑΔ), ημερ. 6.7.2005,</w:t>
      </w:r>
      <w:r w:rsidRPr="00713FDE">
        <w:rPr>
          <w:rFonts w:cstheme="minorHAnsi"/>
          <w:bCs/>
          <w:color w:val="000000"/>
        </w:rPr>
        <w:t xml:space="preserve"> </w:t>
      </w:r>
      <w:r w:rsidRPr="00713FDE">
        <w:rPr>
          <w:rFonts w:cstheme="minorHAnsi"/>
          <w:bCs/>
          <w:iCs/>
          <w:color w:val="000000"/>
          <w:lang w:val="fr-FR"/>
        </w:rPr>
        <w:t>Mateus v. Portugal and J</w:t>
      </w:r>
      <w:r w:rsidRPr="00713FDE">
        <w:rPr>
          <w:rFonts w:cstheme="minorHAnsi"/>
          <w:bCs/>
          <w:iCs/>
          <w:color w:val="000000"/>
        </w:rPr>
        <w:t>α</w:t>
      </w:r>
      <w:r w:rsidRPr="00713FDE">
        <w:rPr>
          <w:rFonts w:cstheme="minorHAnsi"/>
          <w:bCs/>
          <w:iCs/>
          <w:color w:val="000000"/>
          <w:lang w:val="fr-FR"/>
        </w:rPr>
        <w:t>nu</w:t>
      </w:r>
      <w:r w:rsidRPr="00713FDE">
        <w:rPr>
          <w:rFonts w:cstheme="minorHAnsi"/>
          <w:bCs/>
          <w:iCs/>
          <w:color w:val="000000"/>
        </w:rPr>
        <w:t>ά</w:t>
      </w:r>
      <w:r w:rsidRPr="00713FDE">
        <w:rPr>
          <w:rFonts w:cstheme="minorHAnsi"/>
          <w:bCs/>
          <w:iCs/>
          <w:color w:val="000000"/>
          <w:lang w:val="fr-FR"/>
        </w:rPr>
        <w:t>rio v. Portugal (</w:t>
      </w:r>
      <w:r w:rsidRPr="00713FDE">
        <w:rPr>
          <w:rFonts w:cstheme="minorHAnsi"/>
          <w:bCs/>
          <w:iCs/>
          <w:color w:val="000000"/>
        </w:rPr>
        <w:t>ΕΔΑΔ</w:t>
      </w:r>
      <w:r w:rsidRPr="00713FDE">
        <w:rPr>
          <w:rFonts w:cstheme="minorHAnsi"/>
          <w:bCs/>
          <w:iCs/>
          <w:color w:val="000000"/>
          <w:lang w:val="fr-FR"/>
        </w:rPr>
        <w:t xml:space="preserve">), Applications 62235/12 </w:t>
      </w:r>
      <w:r w:rsidRPr="00713FDE">
        <w:rPr>
          <w:rFonts w:cstheme="minorHAnsi"/>
          <w:bCs/>
          <w:iCs/>
          <w:color w:val="000000"/>
        </w:rPr>
        <w:t>και</w:t>
      </w:r>
      <w:r w:rsidRPr="00713FDE">
        <w:rPr>
          <w:rFonts w:cstheme="minorHAnsi"/>
          <w:bCs/>
          <w:iCs/>
          <w:color w:val="000000"/>
          <w:lang w:val="fr-FR"/>
        </w:rPr>
        <w:t xml:space="preserve"> 57725/12, </w:t>
      </w:r>
      <w:r w:rsidRPr="00713FDE">
        <w:rPr>
          <w:rFonts w:cstheme="minorHAnsi"/>
          <w:bCs/>
          <w:iCs/>
          <w:color w:val="000000"/>
        </w:rPr>
        <w:t>ημερ</w:t>
      </w:r>
      <w:r w:rsidRPr="00713FDE">
        <w:rPr>
          <w:rFonts w:cstheme="minorHAnsi"/>
          <w:bCs/>
          <w:iCs/>
          <w:color w:val="000000"/>
          <w:lang w:val="fr-FR"/>
        </w:rPr>
        <w:t xml:space="preserve">. </w:t>
      </w:r>
      <w:r w:rsidRPr="00713FDE">
        <w:rPr>
          <w:rFonts w:cstheme="minorHAnsi"/>
          <w:bCs/>
          <w:iCs/>
          <w:color w:val="000000"/>
        </w:rPr>
        <w:t xml:space="preserve">8.10.2013, </w:t>
      </w:r>
      <w:r w:rsidRPr="00713FDE">
        <w:rPr>
          <w:rFonts w:cstheme="minorHAnsi"/>
          <w:bCs/>
          <w:iCs/>
          <w:color w:val="000000"/>
          <w:lang w:val="en-GB"/>
        </w:rPr>
        <w:t>Valcov and others v</w:t>
      </w:r>
      <w:r w:rsidRPr="00713FDE">
        <w:rPr>
          <w:rFonts w:cstheme="minorHAnsi"/>
          <w:bCs/>
          <w:iCs/>
          <w:color w:val="000000"/>
        </w:rPr>
        <w:t xml:space="preserve">. </w:t>
      </w:r>
      <w:r w:rsidRPr="00713FDE">
        <w:rPr>
          <w:rFonts w:cstheme="minorHAnsi"/>
          <w:bCs/>
          <w:iCs/>
          <w:color w:val="000000"/>
          <w:lang w:val="en-GB"/>
        </w:rPr>
        <w:t>Bulgaria</w:t>
      </w:r>
      <w:r w:rsidRPr="00713FDE">
        <w:rPr>
          <w:rFonts w:cstheme="minorHAnsi"/>
          <w:bCs/>
          <w:iCs/>
          <w:color w:val="000000"/>
        </w:rPr>
        <w:t xml:space="preserve">, </w:t>
      </w:r>
      <w:r w:rsidRPr="00713FDE">
        <w:rPr>
          <w:rFonts w:cstheme="minorHAnsi"/>
          <w:bCs/>
          <w:iCs/>
          <w:color w:val="000000"/>
          <w:lang w:val="en-GB"/>
        </w:rPr>
        <w:t>Appl</w:t>
      </w:r>
      <w:r w:rsidRPr="00713FDE">
        <w:rPr>
          <w:rFonts w:cstheme="minorHAnsi"/>
          <w:bCs/>
          <w:iCs/>
          <w:color w:val="000000"/>
        </w:rPr>
        <w:t xml:space="preserve">. </w:t>
      </w:r>
      <w:r w:rsidRPr="00713FDE">
        <w:rPr>
          <w:rFonts w:cstheme="minorHAnsi"/>
          <w:bCs/>
          <w:iCs/>
          <w:color w:val="000000"/>
          <w:lang w:val="en-GB"/>
        </w:rPr>
        <w:t>No</w:t>
      </w:r>
      <w:r w:rsidRPr="00713FDE">
        <w:rPr>
          <w:rFonts w:cstheme="minorHAnsi"/>
          <w:bCs/>
          <w:iCs/>
          <w:color w:val="000000"/>
        </w:rPr>
        <w:t xml:space="preserve">. 2033/04, ημερ. 8.3.2012, σκέψη 84 </w:t>
      </w:r>
      <w:r w:rsidRPr="00713FDE">
        <w:rPr>
          <w:rFonts w:cstheme="minorHAnsi"/>
          <w:color w:val="000000"/>
        </w:rPr>
        <w:t xml:space="preserve">και </w:t>
      </w:r>
      <w:r w:rsidRPr="00713FDE">
        <w:rPr>
          <w:rFonts w:cstheme="minorHAnsi"/>
          <w:bCs/>
          <w:iCs/>
          <w:color w:val="000000"/>
          <w:lang w:val="en-GB"/>
        </w:rPr>
        <w:t>Panfile v</w:t>
      </w:r>
      <w:r w:rsidRPr="00713FDE">
        <w:rPr>
          <w:rFonts w:cstheme="minorHAnsi"/>
          <w:bCs/>
          <w:iCs/>
          <w:color w:val="000000"/>
        </w:rPr>
        <w:t xml:space="preserve">. </w:t>
      </w:r>
      <w:r w:rsidRPr="00713FDE">
        <w:rPr>
          <w:rFonts w:cstheme="minorHAnsi"/>
          <w:bCs/>
          <w:iCs/>
          <w:color w:val="000000"/>
          <w:lang w:val="en-GB"/>
        </w:rPr>
        <w:t xml:space="preserve">Romania, Appl. No. 1390/2011, </w:t>
      </w:r>
      <w:r w:rsidRPr="00713FDE">
        <w:rPr>
          <w:rFonts w:cstheme="minorHAnsi"/>
          <w:bCs/>
          <w:iCs/>
          <w:color w:val="000000"/>
        </w:rPr>
        <w:t>ημερ</w:t>
      </w:r>
      <w:r w:rsidRPr="00713FDE">
        <w:rPr>
          <w:rFonts w:cstheme="minorHAnsi"/>
          <w:bCs/>
          <w:iCs/>
          <w:color w:val="000000"/>
          <w:lang w:val="en-GB"/>
        </w:rPr>
        <w:t xml:space="preserve">. </w:t>
      </w:r>
      <w:r w:rsidRPr="00DB6584">
        <w:rPr>
          <w:rFonts w:cstheme="minorHAnsi"/>
          <w:bCs/>
          <w:iCs/>
          <w:color w:val="000000"/>
          <w:lang w:val="el-GR"/>
        </w:rPr>
        <w:t xml:space="preserve">20.3.2012, σκέψεις 15 και 18, </w:t>
      </w:r>
      <w:r w:rsidRPr="00713FDE">
        <w:rPr>
          <w:rFonts w:cstheme="minorHAnsi"/>
          <w:bCs/>
          <w:iCs/>
          <w:color w:val="000000"/>
        </w:rPr>
        <w:t>Koufakis</w:t>
      </w:r>
      <w:r w:rsidRPr="00DB6584">
        <w:rPr>
          <w:rFonts w:cstheme="minorHAnsi"/>
          <w:bCs/>
          <w:iCs/>
          <w:color w:val="000000"/>
          <w:lang w:val="el-GR"/>
        </w:rPr>
        <w:t xml:space="preserve"> </w:t>
      </w:r>
      <w:r w:rsidRPr="00713FDE">
        <w:rPr>
          <w:rFonts w:cstheme="minorHAnsi"/>
          <w:bCs/>
          <w:iCs/>
          <w:color w:val="000000"/>
        </w:rPr>
        <w:t>v</w:t>
      </w:r>
      <w:r w:rsidRPr="00DB6584">
        <w:rPr>
          <w:rFonts w:cstheme="minorHAnsi"/>
          <w:bCs/>
          <w:iCs/>
          <w:color w:val="000000"/>
          <w:lang w:val="el-GR"/>
        </w:rPr>
        <w:t xml:space="preserve">. </w:t>
      </w:r>
      <w:r w:rsidRPr="00713FDE">
        <w:rPr>
          <w:rFonts w:cstheme="minorHAnsi"/>
          <w:bCs/>
          <w:iCs/>
          <w:color w:val="000000"/>
        </w:rPr>
        <w:t>Greece</w:t>
      </w:r>
      <w:r w:rsidR="000B442D" w:rsidRPr="00713FDE">
        <w:rPr>
          <w:rFonts w:cstheme="minorHAnsi"/>
          <w:bCs/>
          <w:iCs/>
          <w:color w:val="000000"/>
          <w:lang w:val="el-GR"/>
        </w:rPr>
        <w:t>, Α</w:t>
      </w:r>
      <w:r w:rsidR="000B442D" w:rsidRPr="00713FDE">
        <w:rPr>
          <w:rFonts w:cstheme="minorHAnsi"/>
          <w:bCs/>
          <w:iCs/>
          <w:color w:val="000000"/>
        </w:rPr>
        <w:t>ppl</w:t>
      </w:r>
      <w:r w:rsidR="000B442D" w:rsidRPr="00713FDE">
        <w:rPr>
          <w:rFonts w:cstheme="minorHAnsi"/>
          <w:bCs/>
          <w:iCs/>
          <w:color w:val="000000"/>
          <w:lang w:val="el-GR"/>
        </w:rPr>
        <w:t xml:space="preserve">. Νο. </w:t>
      </w:r>
      <w:r w:rsidR="000B442D" w:rsidRPr="00DB6584">
        <w:rPr>
          <w:rFonts w:cstheme="minorHAnsi"/>
          <w:bCs/>
          <w:iCs/>
          <w:color w:val="000000"/>
          <w:lang w:val="el-GR"/>
        </w:rPr>
        <w:t xml:space="preserve">57665/12 </w:t>
      </w:r>
      <w:r w:rsidR="007C2404">
        <w:rPr>
          <w:rFonts w:cstheme="minorHAnsi"/>
          <w:bCs/>
          <w:iCs/>
          <w:color w:val="000000"/>
          <w:lang w:val="el-GR"/>
        </w:rPr>
        <w:t>και</w:t>
      </w:r>
      <w:r w:rsidR="000B442D" w:rsidRPr="00DB6584">
        <w:rPr>
          <w:rFonts w:cstheme="minorHAnsi"/>
          <w:bCs/>
          <w:iCs/>
          <w:color w:val="000000"/>
          <w:lang w:val="el-GR"/>
        </w:rPr>
        <w:t xml:space="preserve"> 57657/12</w:t>
      </w:r>
      <w:r w:rsidR="000B442D" w:rsidRPr="00713FDE">
        <w:rPr>
          <w:rFonts w:eastAsia="Times New Roman" w:cstheme="minorHAnsi"/>
          <w:color w:val="444444"/>
          <w:kern w:val="36"/>
          <w:lang w:val="el-GR" w:eastAsia="en-GB"/>
        </w:rPr>
        <w:t>,  ημερ. 07/05/2013</w:t>
      </w:r>
    </w:p>
  </w:footnote>
  <w:footnote w:id="17">
    <w:p w:rsidR="00A25F1A" w:rsidRPr="00A25F1A" w:rsidRDefault="00A25F1A">
      <w:pPr>
        <w:pStyle w:val="FootnoteText"/>
        <w:rPr>
          <w:lang w:val="el-GR"/>
        </w:rPr>
      </w:pPr>
      <w:r>
        <w:rPr>
          <w:rStyle w:val="FootnoteReference"/>
        </w:rPr>
        <w:footnoteRef/>
      </w:r>
      <w:r w:rsidRPr="00A25F1A">
        <w:rPr>
          <w:lang w:val="el-GR"/>
        </w:rPr>
        <w:t xml:space="preserve"> </w:t>
      </w:r>
      <w:r>
        <w:rPr>
          <w:lang w:val="el-GR"/>
        </w:rPr>
        <w:t>Ενώ κατά τη μειοψηφία, εξ αρχής είναι που δεν υπήρξε στέρηση ή περιορισμός εν τη εννοία του Άρθρου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166658"/>
      <w:docPartObj>
        <w:docPartGallery w:val="Page Numbers (Top of Page)"/>
        <w:docPartUnique/>
      </w:docPartObj>
    </w:sdtPr>
    <w:sdtEndPr>
      <w:rPr>
        <w:noProof/>
      </w:rPr>
    </w:sdtEndPr>
    <w:sdtContent>
      <w:p w:rsidR="005E2169" w:rsidRDefault="005E2169">
        <w:pPr>
          <w:pStyle w:val="Header"/>
          <w:jc w:val="center"/>
        </w:pPr>
        <w:r>
          <w:fldChar w:fldCharType="begin"/>
        </w:r>
        <w:r>
          <w:instrText xml:space="preserve"> PAGE   \* MERGEFORMAT </w:instrText>
        </w:r>
        <w:r>
          <w:fldChar w:fldCharType="separate"/>
        </w:r>
        <w:r w:rsidR="00407E2C">
          <w:rPr>
            <w:noProof/>
          </w:rPr>
          <w:t>4</w:t>
        </w:r>
        <w:r>
          <w:rPr>
            <w:noProof/>
          </w:rPr>
          <w:fldChar w:fldCharType="end"/>
        </w:r>
      </w:p>
    </w:sdtContent>
  </w:sdt>
  <w:p w:rsidR="005E2169" w:rsidRDefault="005E21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79"/>
    <w:rsid w:val="00045F24"/>
    <w:rsid w:val="000604B8"/>
    <w:rsid w:val="000965F7"/>
    <w:rsid w:val="000B442D"/>
    <w:rsid w:val="001B4EEE"/>
    <w:rsid w:val="001C4652"/>
    <w:rsid w:val="00244B32"/>
    <w:rsid w:val="00262AE5"/>
    <w:rsid w:val="002A0AE6"/>
    <w:rsid w:val="002B6C11"/>
    <w:rsid w:val="003D6C39"/>
    <w:rsid w:val="003F737E"/>
    <w:rsid w:val="00407E2C"/>
    <w:rsid w:val="004739B6"/>
    <w:rsid w:val="00485917"/>
    <w:rsid w:val="00514BE7"/>
    <w:rsid w:val="005741E4"/>
    <w:rsid w:val="005C62FD"/>
    <w:rsid w:val="005E2169"/>
    <w:rsid w:val="005F574F"/>
    <w:rsid w:val="00606ADD"/>
    <w:rsid w:val="006657A5"/>
    <w:rsid w:val="006848BF"/>
    <w:rsid w:val="00693983"/>
    <w:rsid w:val="0071246C"/>
    <w:rsid w:val="00713FDE"/>
    <w:rsid w:val="00726C5D"/>
    <w:rsid w:val="007C2404"/>
    <w:rsid w:val="007C77AE"/>
    <w:rsid w:val="007D2285"/>
    <w:rsid w:val="00914D6F"/>
    <w:rsid w:val="009472DC"/>
    <w:rsid w:val="009C7069"/>
    <w:rsid w:val="00A12619"/>
    <w:rsid w:val="00A25F1A"/>
    <w:rsid w:val="00A81A70"/>
    <w:rsid w:val="00A82172"/>
    <w:rsid w:val="00B0452F"/>
    <w:rsid w:val="00C02094"/>
    <w:rsid w:val="00C21164"/>
    <w:rsid w:val="00C7531F"/>
    <w:rsid w:val="00C90C06"/>
    <w:rsid w:val="00C91590"/>
    <w:rsid w:val="00CB3ADC"/>
    <w:rsid w:val="00D55105"/>
    <w:rsid w:val="00D62D98"/>
    <w:rsid w:val="00D804E0"/>
    <w:rsid w:val="00D818F1"/>
    <w:rsid w:val="00D85EE9"/>
    <w:rsid w:val="00D91964"/>
    <w:rsid w:val="00DB6584"/>
    <w:rsid w:val="00DF2DEF"/>
    <w:rsid w:val="00EA7217"/>
    <w:rsid w:val="00EB265C"/>
    <w:rsid w:val="00ED0279"/>
    <w:rsid w:val="00F22E03"/>
    <w:rsid w:val="00F437D4"/>
    <w:rsid w:val="00F9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D4AE91-4F54-44B8-8FD5-A634DF3A8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285"/>
    <w:pPr>
      <w:tabs>
        <w:tab w:val="center" w:pos="4320"/>
        <w:tab w:val="right" w:pos="8640"/>
      </w:tabs>
      <w:spacing w:after="0" w:line="240" w:lineRule="auto"/>
    </w:pPr>
  </w:style>
  <w:style w:type="character" w:customStyle="1" w:styleId="HeaderChar">
    <w:name w:val="Header Char"/>
    <w:basedOn w:val="DefaultParagraphFont"/>
    <w:link w:val="Header"/>
    <w:uiPriority w:val="99"/>
    <w:rsid w:val="007D2285"/>
  </w:style>
  <w:style w:type="paragraph" w:styleId="Footer">
    <w:name w:val="footer"/>
    <w:basedOn w:val="Normal"/>
    <w:link w:val="FooterChar"/>
    <w:uiPriority w:val="99"/>
    <w:unhideWhenUsed/>
    <w:rsid w:val="007D228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D2285"/>
  </w:style>
  <w:style w:type="paragraph" w:styleId="BalloonText">
    <w:name w:val="Balloon Text"/>
    <w:basedOn w:val="Normal"/>
    <w:link w:val="BalloonTextChar"/>
    <w:uiPriority w:val="99"/>
    <w:semiHidden/>
    <w:unhideWhenUsed/>
    <w:rsid w:val="005F5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74F"/>
    <w:rPr>
      <w:rFonts w:ascii="Segoe UI" w:hAnsi="Segoe UI" w:cs="Segoe UI"/>
      <w:sz w:val="18"/>
      <w:szCs w:val="18"/>
    </w:rPr>
  </w:style>
  <w:style w:type="paragraph" w:styleId="FootnoteText">
    <w:name w:val="footnote text"/>
    <w:basedOn w:val="Normal"/>
    <w:link w:val="FootnoteTextChar"/>
    <w:uiPriority w:val="99"/>
    <w:semiHidden/>
    <w:unhideWhenUsed/>
    <w:rsid w:val="00D62D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2D98"/>
    <w:rPr>
      <w:sz w:val="20"/>
      <w:szCs w:val="20"/>
    </w:rPr>
  </w:style>
  <w:style w:type="character" w:styleId="FootnoteReference">
    <w:name w:val="footnote reference"/>
    <w:basedOn w:val="DefaultParagraphFont"/>
    <w:uiPriority w:val="99"/>
    <w:semiHidden/>
    <w:unhideWhenUsed/>
    <w:rsid w:val="00D62D98"/>
    <w:rPr>
      <w:vertAlign w:val="superscript"/>
    </w:rPr>
  </w:style>
  <w:style w:type="paragraph" w:customStyle="1" w:styleId="a">
    <w:name w:val="a"/>
    <w:basedOn w:val="Normal"/>
    <w:rsid w:val="001B4E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4E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629701">
      <w:bodyDiv w:val="1"/>
      <w:marLeft w:val="0"/>
      <w:marRight w:val="0"/>
      <w:marTop w:val="0"/>
      <w:marBottom w:val="0"/>
      <w:divBdr>
        <w:top w:val="none" w:sz="0" w:space="0" w:color="auto"/>
        <w:left w:val="none" w:sz="0" w:space="0" w:color="auto"/>
        <w:bottom w:val="none" w:sz="0" w:space="0" w:color="auto"/>
        <w:right w:val="none" w:sz="0" w:space="0" w:color="auto"/>
      </w:divBdr>
    </w:div>
    <w:div w:id="1674340311">
      <w:bodyDiv w:val="1"/>
      <w:marLeft w:val="0"/>
      <w:marRight w:val="0"/>
      <w:marTop w:val="0"/>
      <w:marBottom w:val="0"/>
      <w:divBdr>
        <w:top w:val="none" w:sz="0" w:space="0" w:color="auto"/>
        <w:left w:val="none" w:sz="0" w:space="0" w:color="auto"/>
        <w:bottom w:val="none" w:sz="0" w:space="0" w:color="auto"/>
        <w:right w:val="none" w:sz="0" w:space="0" w:color="auto"/>
      </w:divBdr>
    </w:div>
    <w:div w:id="207199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3D32F-0701-4D3B-91B1-6BC81E813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2551</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Hadjipieri  Kyriaki</dc:creator>
  <cp:keywords/>
  <dc:description/>
  <cp:lastModifiedBy>Elena Noekleous</cp:lastModifiedBy>
  <cp:revision>2</cp:revision>
  <cp:lastPrinted>2019-03-14T08:04:00Z</cp:lastPrinted>
  <dcterms:created xsi:type="dcterms:W3CDTF">2019-04-05T06:21:00Z</dcterms:created>
  <dcterms:modified xsi:type="dcterms:W3CDTF">2019-04-05T06:21:00Z</dcterms:modified>
</cp:coreProperties>
</file>